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8A" w:rsidRDefault="00AF278A" w:rsidP="00EF6D1B">
      <w:pPr>
        <w:rPr>
          <w:rFonts w:ascii="Verdana" w:hAnsi="Verdana" w:cs="Tahoma"/>
          <w:b/>
          <w:sz w:val="22"/>
          <w:szCs w:val="22"/>
        </w:rPr>
      </w:pPr>
    </w:p>
    <w:p w:rsidR="00E848EE" w:rsidRDefault="00E848EE" w:rsidP="00EF6D1B">
      <w:pPr>
        <w:rPr>
          <w:rFonts w:ascii="Verdana" w:hAnsi="Verdana" w:cs="Tahoma"/>
          <w:b/>
          <w:sz w:val="22"/>
          <w:szCs w:val="22"/>
        </w:rPr>
      </w:pPr>
    </w:p>
    <w:p w:rsidR="00043CFB" w:rsidRPr="00DB426A" w:rsidRDefault="00043CFB" w:rsidP="00EF6D1B">
      <w:pPr>
        <w:rPr>
          <w:rFonts w:ascii="Verdana" w:hAnsi="Verdana" w:cs="Tahoma"/>
          <w:b/>
          <w:sz w:val="22"/>
          <w:szCs w:val="22"/>
        </w:rPr>
      </w:pPr>
    </w:p>
    <w:p w:rsidR="000B37A3" w:rsidRPr="00611411" w:rsidRDefault="000B37A3" w:rsidP="007C5765">
      <w:pPr>
        <w:ind w:firstLine="142"/>
        <w:outlineLvl w:val="0"/>
        <w:rPr>
          <w:rFonts w:ascii="Tahoma" w:hAnsi="Tahoma" w:cs="Tahoma"/>
          <w:b/>
          <w:sz w:val="22"/>
          <w:szCs w:val="22"/>
        </w:rPr>
      </w:pPr>
      <w:r w:rsidRPr="00611411">
        <w:rPr>
          <w:rFonts w:ascii="Tahoma" w:hAnsi="Tahoma" w:cs="Tahoma"/>
          <w:b/>
          <w:sz w:val="22"/>
          <w:szCs w:val="22"/>
        </w:rPr>
        <w:t>RESOLUCIÓN EXENTA N°</w:t>
      </w:r>
    </w:p>
    <w:p w:rsidR="000B37A3" w:rsidRPr="00611411" w:rsidRDefault="000B37A3" w:rsidP="000B37A3">
      <w:pPr>
        <w:ind w:left="142"/>
        <w:outlineLvl w:val="0"/>
        <w:rPr>
          <w:rFonts w:ascii="Tahoma" w:hAnsi="Tahoma" w:cs="Tahoma"/>
          <w:b/>
          <w:sz w:val="22"/>
          <w:szCs w:val="22"/>
        </w:rPr>
      </w:pPr>
    </w:p>
    <w:p w:rsidR="00E848EE" w:rsidRDefault="00E848EE" w:rsidP="007C5765">
      <w:pPr>
        <w:ind w:firstLine="142"/>
        <w:outlineLvl w:val="0"/>
        <w:rPr>
          <w:rFonts w:ascii="Tahoma" w:hAnsi="Tahoma" w:cs="Tahoma"/>
          <w:b/>
          <w:sz w:val="22"/>
          <w:szCs w:val="22"/>
        </w:rPr>
      </w:pPr>
    </w:p>
    <w:p w:rsidR="000B37A3" w:rsidRPr="00611411" w:rsidRDefault="000B37A3" w:rsidP="007C5765">
      <w:pPr>
        <w:ind w:firstLine="142"/>
        <w:outlineLvl w:val="0"/>
        <w:rPr>
          <w:rFonts w:ascii="Tahoma" w:hAnsi="Tahoma" w:cs="Tahoma"/>
          <w:b/>
          <w:sz w:val="22"/>
          <w:szCs w:val="22"/>
        </w:rPr>
      </w:pPr>
      <w:r w:rsidRPr="00611411">
        <w:rPr>
          <w:rFonts w:ascii="Tahoma" w:hAnsi="Tahoma" w:cs="Tahoma"/>
          <w:b/>
          <w:sz w:val="22"/>
          <w:szCs w:val="22"/>
        </w:rPr>
        <w:t>Valparaíso,</w:t>
      </w:r>
    </w:p>
    <w:p w:rsidR="007C5765" w:rsidRPr="00611411" w:rsidRDefault="007C5765" w:rsidP="007C5765">
      <w:pPr>
        <w:outlineLvl w:val="0"/>
        <w:rPr>
          <w:rFonts w:ascii="Tahoma" w:hAnsi="Tahoma" w:cs="Tahoma"/>
          <w:b/>
          <w:sz w:val="22"/>
          <w:szCs w:val="22"/>
        </w:rPr>
      </w:pPr>
    </w:p>
    <w:p w:rsidR="00E848EE" w:rsidRDefault="00E848EE" w:rsidP="007C5765">
      <w:pPr>
        <w:ind w:firstLine="142"/>
        <w:outlineLvl w:val="0"/>
        <w:rPr>
          <w:rFonts w:ascii="Tahoma" w:hAnsi="Tahoma" w:cs="Tahoma"/>
          <w:b/>
          <w:sz w:val="22"/>
          <w:szCs w:val="22"/>
        </w:rPr>
      </w:pPr>
    </w:p>
    <w:p w:rsidR="000B37A3" w:rsidRPr="00611411" w:rsidRDefault="000B37A3" w:rsidP="007C5765">
      <w:pPr>
        <w:ind w:firstLine="142"/>
        <w:outlineLvl w:val="0"/>
        <w:rPr>
          <w:rFonts w:ascii="Tahoma" w:hAnsi="Tahoma" w:cs="Tahoma"/>
          <w:b/>
          <w:sz w:val="22"/>
          <w:szCs w:val="22"/>
        </w:rPr>
      </w:pPr>
      <w:r w:rsidRPr="00611411">
        <w:rPr>
          <w:rFonts w:ascii="Tahoma" w:hAnsi="Tahoma" w:cs="Tahoma"/>
          <w:b/>
          <w:sz w:val="22"/>
          <w:szCs w:val="22"/>
        </w:rPr>
        <w:t>VISTOS:</w:t>
      </w:r>
    </w:p>
    <w:p w:rsidR="000B37A3" w:rsidRPr="00611411" w:rsidRDefault="000B37A3" w:rsidP="000B37A3">
      <w:pPr>
        <w:ind w:left="142"/>
        <w:outlineLvl w:val="0"/>
        <w:rPr>
          <w:rFonts w:ascii="Tahoma" w:hAnsi="Tahoma" w:cs="Tahoma"/>
          <w:b/>
          <w:sz w:val="22"/>
          <w:szCs w:val="22"/>
        </w:rPr>
      </w:pPr>
    </w:p>
    <w:p w:rsidR="007C5765" w:rsidRPr="00611411" w:rsidRDefault="007C5765" w:rsidP="007C5765">
      <w:pPr>
        <w:ind w:firstLine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0B37A3" w:rsidRPr="00611411" w:rsidRDefault="008B3237" w:rsidP="007C5765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 w:rsidRPr="00611411">
        <w:rPr>
          <w:rFonts w:ascii="Tahoma" w:hAnsi="Tahoma" w:cs="Tahoma"/>
          <w:sz w:val="22"/>
          <w:szCs w:val="22"/>
        </w:rPr>
        <w:t>El Oficio Ordinario N°283, de 25.04.2022, del Director Regional de la Aduana Metropolitana</w:t>
      </w:r>
      <w:r w:rsidR="002E780B" w:rsidRPr="00611411">
        <w:rPr>
          <w:rFonts w:ascii="Tahoma" w:hAnsi="Tahoma" w:cs="Tahoma"/>
          <w:sz w:val="22"/>
          <w:szCs w:val="22"/>
        </w:rPr>
        <w:t>.</w:t>
      </w:r>
      <w:r w:rsidR="000B37A3" w:rsidRPr="00611411">
        <w:rPr>
          <w:rFonts w:ascii="Tahoma" w:hAnsi="Tahoma" w:cs="Tahoma"/>
          <w:sz w:val="22"/>
          <w:szCs w:val="22"/>
        </w:rPr>
        <w:t xml:space="preserve"> </w:t>
      </w:r>
    </w:p>
    <w:p w:rsidR="000B37A3" w:rsidRPr="00611411" w:rsidRDefault="000B37A3" w:rsidP="000B37A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0B37A3" w:rsidRPr="00611411" w:rsidRDefault="000B37A3" w:rsidP="000B37A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 w:rsidRPr="00611411">
        <w:rPr>
          <w:rFonts w:ascii="Tahoma" w:hAnsi="Tahoma" w:cs="Tahoma"/>
          <w:sz w:val="22"/>
          <w:szCs w:val="22"/>
        </w:rPr>
        <w:t xml:space="preserve">La </w:t>
      </w:r>
      <w:r w:rsidR="00B0297F" w:rsidRPr="00611411">
        <w:rPr>
          <w:rFonts w:ascii="Tahoma" w:hAnsi="Tahoma" w:cs="Tahoma"/>
          <w:sz w:val="22"/>
          <w:szCs w:val="22"/>
        </w:rPr>
        <w:t>Ley N°21</w:t>
      </w:r>
      <w:r w:rsidR="002E780B" w:rsidRPr="00611411">
        <w:rPr>
          <w:rFonts w:ascii="Tahoma" w:hAnsi="Tahoma" w:cs="Tahoma"/>
          <w:sz w:val="22"/>
          <w:szCs w:val="22"/>
        </w:rPr>
        <w:t>.</w:t>
      </w:r>
      <w:r w:rsidR="00EE432A" w:rsidRPr="00611411">
        <w:rPr>
          <w:rFonts w:ascii="Tahoma" w:hAnsi="Tahoma" w:cs="Tahoma"/>
          <w:sz w:val="22"/>
          <w:szCs w:val="22"/>
        </w:rPr>
        <w:t>412,</w:t>
      </w:r>
      <w:r w:rsidR="00BC5266">
        <w:rPr>
          <w:rFonts w:ascii="Tahoma" w:hAnsi="Tahoma" w:cs="Tahoma"/>
          <w:sz w:val="22"/>
          <w:szCs w:val="22"/>
        </w:rPr>
        <w:t xml:space="preserve"> de 13.01.2022, </w:t>
      </w:r>
      <w:r w:rsidR="00EE432A" w:rsidRPr="00611411">
        <w:rPr>
          <w:rFonts w:ascii="Tahoma" w:hAnsi="Tahoma" w:cs="Tahoma"/>
          <w:sz w:val="22"/>
          <w:szCs w:val="22"/>
        </w:rPr>
        <w:t xml:space="preserve">que modifica diversos </w:t>
      </w:r>
      <w:r w:rsidR="007C335C" w:rsidRPr="00611411">
        <w:rPr>
          <w:rFonts w:ascii="Tahoma" w:hAnsi="Tahoma" w:cs="Tahoma"/>
          <w:sz w:val="22"/>
          <w:szCs w:val="22"/>
        </w:rPr>
        <w:t xml:space="preserve">cuerpos legales </w:t>
      </w:r>
      <w:r w:rsidR="00ED6E06" w:rsidRPr="00611411">
        <w:rPr>
          <w:rFonts w:ascii="Tahoma" w:hAnsi="Tahoma" w:cs="Tahoma"/>
          <w:sz w:val="22"/>
          <w:szCs w:val="22"/>
        </w:rPr>
        <w:t>para fortalecer el control de armas.</w:t>
      </w:r>
    </w:p>
    <w:p w:rsidR="00ED6E06" w:rsidRPr="00611411" w:rsidRDefault="00ED6E06" w:rsidP="00ED6E06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ED6E06" w:rsidRPr="00611411" w:rsidRDefault="00042C0B" w:rsidP="00ED6E06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 w:rsidRPr="00611411">
        <w:rPr>
          <w:rFonts w:ascii="Tahoma" w:hAnsi="Tahoma" w:cs="Tahoma"/>
          <w:sz w:val="22"/>
          <w:szCs w:val="22"/>
        </w:rPr>
        <w:t xml:space="preserve">El </w:t>
      </w:r>
      <w:r w:rsidR="00ED6E06" w:rsidRPr="00611411">
        <w:rPr>
          <w:rFonts w:ascii="Tahoma" w:hAnsi="Tahoma" w:cs="Tahoma"/>
          <w:sz w:val="22"/>
          <w:szCs w:val="22"/>
        </w:rPr>
        <w:t>Decreto N°400 de 1977, del Min</w:t>
      </w:r>
      <w:r w:rsidR="007C2F17">
        <w:rPr>
          <w:rFonts w:ascii="Tahoma" w:hAnsi="Tahoma" w:cs="Tahoma"/>
          <w:sz w:val="22"/>
          <w:szCs w:val="22"/>
        </w:rPr>
        <w:t>i</w:t>
      </w:r>
      <w:r w:rsidR="00ED6E06" w:rsidRPr="00611411">
        <w:rPr>
          <w:rFonts w:ascii="Tahoma" w:hAnsi="Tahoma" w:cs="Tahoma"/>
          <w:sz w:val="22"/>
          <w:szCs w:val="22"/>
        </w:rPr>
        <w:t>sterio de Defensa Nacional, que fija el texto refundido, coordinado y sistematizado de la Ley N°17.798, sobre control de armas.</w:t>
      </w:r>
    </w:p>
    <w:p w:rsidR="00ED6E06" w:rsidRPr="00611411" w:rsidRDefault="00ED6E06" w:rsidP="00ED6E06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ED6E06" w:rsidRPr="00611411" w:rsidRDefault="00042C0B" w:rsidP="00042C0B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 w:rsidRPr="00611411">
        <w:rPr>
          <w:rFonts w:ascii="Tahoma" w:hAnsi="Tahoma" w:cs="Tahoma"/>
          <w:sz w:val="22"/>
          <w:szCs w:val="22"/>
        </w:rPr>
        <w:t>El A</w:t>
      </w:r>
      <w:r w:rsidR="00DE356A" w:rsidRPr="00611411">
        <w:rPr>
          <w:rFonts w:ascii="Tahoma" w:hAnsi="Tahoma" w:cs="Tahoma"/>
          <w:sz w:val="22"/>
          <w:szCs w:val="22"/>
        </w:rPr>
        <w:t>rtículo 109 de la Ordenanza de Aduanas, DFL N°30, año 2005, del Ministerio de Hacienda.</w:t>
      </w:r>
    </w:p>
    <w:p w:rsidR="00B0297F" w:rsidRPr="00611411" w:rsidRDefault="00B0297F" w:rsidP="00ED6E06">
      <w:pPr>
        <w:jc w:val="both"/>
        <w:outlineLvl w:val="0"/>
        <w:rPr>
          <w:rFonts w:ascii="Tahoma" w:hAnsi="Tahoma" w:cs="Tahoma"/>
          <w:sz w:val="22"/>
          <w:szCs w:val="22"/>
        </w:rPr>
      </w:pPr>
    </w:p>
    <w:p w:rsidR="00B0297F" w:rsidRPr="00611411" w:rsidRDefault="000B37A3" w:rsidP="00810CC5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 w:rsidRPr="00611411">
        <w:rPr>
          <w:rFonts w:ascii="Tahoma" w:hAnsi="Tahoma" w:cs="Tahoma"/>
          <w:sz w:val="22"/>
          <w:szCs w:val="22"/>
        </w:rPr>
        <w:t xml:space="preserve">El </w:t>
      </w:r>
      <w:r w:rsidR="00B0297F" w:rsidRPr="00611411">
        <w:rPr>
          <w:rFonts w:ascii="Tahoma" w:hAnsi="Tahoma" w:cs="Tahoma"/>
          <w:sz w:val="22"/>
          <w:szCs w:val="22"/>
        </w:rPr>
        <w:t>nume</w:t>
      </w:r>
      <w:r w:rsidR="002E780B" w:rsidRPr="00611411">
        <w:rPr>
          <w:rFonts w:ascii="Tahoma" w:hAnsi="Tahoma" w:cs="Tahoma"/>
          <w:sz w:val="22"/>
          <w:szCs w:val="22"/>
        </w:rPr>
        <w:t>r</w:t>
      </w:r>
      <w:r w:rsidR="00B0297F" w:rsidRPr="00611411">
        <w:rPr>
          <w:rFonts w:ascii="Tahoma" w:hAnsi="Tahoma" w:cs="Tahoma"/>
          <w:sz w:val="22"/>
          <w:szCs w:val="22"/>
        </w:rPr>
        <w:t xml:space="preserve">al 15 del Capítulo </w:t>
      </w:r>
      <w:r w:rsidR="004121AE">
        <w:rPr>
          <w:rFonts w:ascii="Tahoma" w:hAnsi="Tahoma" w:cs="Tahoma"/>
          <w:sz w:val="22"/>
          <w:szCs w:val="22"/>
        </w:rPr>
        <w:t>III</w:t>
      </w:r>
      <w:r w:rsidR="00B0297F" w:rsidRPr="00611411">
        <w:rPr>
          <w:rFonts w:ascii="Tahoma" w:hAnsi="Tahoma" w:cs="Tahoma"/>
          <w:sz w:val="22"/>
          <w:szCs w:val="22"/>
        </w:rPr>
        <w:t>, del Compendio de Normas Aduaneras, Resolución N°1300/2006.</w:t>
      </w:r>
    </w:p>
    <w:p w:rsidR="000B37A3" w:rsidRPr="00611411" w:rsidRDefault="000B37A3" w:rsidP="00042C0B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611411">
        <w:rPr>
          <w:rFonts w:ascii="Tahoma" w:hAnsi="Tahoma" w:cs="Tahoma"/>
          <w:sz w:val="22"/>
          <w:szCs w:val="22"/>
        </w:rPr>
        <w:t xml:space="preserve"> </w:t>
      </w:r>
    </w:p>
    <w:p w:rsidR="000B37A3" w:rsidRPr="00611411" w:rsidRDefault="000B37A3" w:rsidP="000B37A3">
      <w:pPr>
        <w:ind w:left="142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611411">
        <w:rPr>
          <w:rFonts w:ascii="Tahoma" w:hAnsi="Tahoma" w:cs="Tahoma"/>
          <w:b/>
          <w:sz w:val="22"/>
          <w:szCs w:val="22"/>
        </w:rPr>
        <w:t>CONSIDERANDO:</w:t>
      </w:r>
    </w:p>
    <w:p w:rsidR="000B37A3" w:rsidRPr="00611411" w:rsidRDefault="000B37A3" w:rsidP="000B37A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2B4A89" w:rsidRPr="00611411" w:rsidRDefault="00DA0013" w:rsidP="00DA001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 w:rsidRPr="00611411">
        <w:rPr>
          <w:rFonts w:ascii="Tahoma" w:hAnsi="Tahoma" w:cs="Tahoma"/>
          <w:sz w:val="22"/>
          <w:szCs w:val="22"/>
        </w:rPr>
        <w:t xml:space="preserve">Que, </w:t>
      </w:r>
      <w:r w:rsidR="00DE356A" w:rsidRPr="00611411">
        <w:rPr>
          <w:rFonts w:ascii="Tahoma" w:hAnsi="Tahoma" w:cs="Tahoma"/>
          <w:sz w:val="22"/>
          <w:szCs w:val="22"/>
        </w:rPr>
        <w:t>por Oficio Ordinario N°283, de 25.04.2022,</w:t>
      </w:r>
      <w:r w:rsidR="00810CC5">
        <w:rPr>
          <w:rFonts w:ascii="Tahoma" w:hAnsi="Tahoma" w:cs="Tahoma"/>
          <w:sz w:val="22"/>
          <w:szCs w:val="22"/>
        </w:rPr>
        <w:t xml:space="preserve"> </w:t>
      </w:r>
      <w:r w:rsidR="00DE356A" w:rsidRPr="00611411">
        <w:rPr>
          <w:rFonts w:ascii="Tahoma" w:hAnsi="Tahoma" w:cs="Tahoma"/>
          <w:sz w:val="22"/>
          <w:szCs w:val="22"/>
        </w:rPr>
        <w:t xml:space="preserve">del Director Regional de la </w:t>
      </w:r>
      <w:r w:rsidR="00F53650" w:rsidRPr="00611411">
        <w:rPr>
          <w:rFonts w:ascii="Tahoma" w:hAnsi="Tahoma" w:cs="Tahoma"/>
          <w:sz w:val="22"/>
          <w:szCs w:val="22"/>
        </w:rPr>
        <w:t xml:space="preserve">Aduana Metropolitana, </w:t>
      </w:r>
      <w:r w:rsidR="00042C0B" w:rsidRPr="00611411">
        <w:rPr>
          <w:rFonts w:ascii="Tahoma" w:hAnsi="Tahoma" w:cs="Tahoma"/>
          <w:sz w:val="22"/>
          <w:szCs w:val="22"/>
        </w:rPr>
        <w:t xml:space="preserve">se ha solicitado analizar la factibilidad de restringir </w:t>
      </w:r>
      <w:r w:rsidR="009D08E4" w:rsidRPr="00611411">
        <w:rPr>
          <w:rFonts w:ascii="Tahoma" w:hAnsi="Tahoma" w:cs="Tahoma"/>
          <w:sz w:val="22"/>
          <w:szCs w:val="22"/>
        </w:rPr>
        <w:t xml:space="preserve">la concesión del régimen de almacén particular, para armas, sus accesorios y municiones, </w:t>
      </w:r>
      <w:r w:rsidR="00E5290E" w:rsidRPr="00611411">
        <w:rPr>
          <w:rFonts w:ascii="Tahoma" w:hAnsi="Tahoma" w:cs="Tahoma"/>
          <w:sz w:val="22"/>
          <w:szCs w:val="22"/>
        </w:rPr>
        <w:t>atendido que en el último tiempo se ha podido advertir la tramitación de Declaraciones de Alma</w:t>
      </w:r>
      <w:r w:rsidR="00554CDF">
        <w:rPr>
          <w:rFonts w:ascii="Tahoma" w:hAnsi="Tahoma" w:cs="Tahoma"/>
          <w:sz w:val="22"/>
          <w:szCs w:val="22"/>
        </w:rPr>
        <w:t>cén</w:t>
      </w:r>
      <w:r w:rsidR="00E5290E" w:rsidRPr="00611411">
        <w:rPr>
          <w:rFonts w:ascii="Tahoma" w:hAnsi="Tahoma" w:cs="Tahoma"/>
          <w:sz w:val="22"/>
          <w:szCs w:val="22"/>
        </w:rPr>
        <w:t xml:space="preserve"> Particular </w:t>
      </w:r>
      <w:r w:rsidR="00F90BE2">
        <w:rPr>
          <w:rFonts w:ascii="Tahoma" w:hAnsi="Tahoma" w:cs="Tahoma"/>
          <w:sz w:val="22"/>
          <w:szCs w:val="22"/>
        </w:rPr>
        <w:t>(</w:t>
      </w:r>
      <w:r w:rsidR="00E5290E" w:rsidRPr="00611411">
        <w:rPr>
          <w:rFonts w:ascii="Tahoma" w:hAnsi="Tahoma" w:cs="Tahoma"/>
          <w:sz w:val="22"/>
          <w:szCs w:val="22"/>
        </w:rPr>
        <w:t>DAPI</w:t>
      </w:r>
      <w:r w:rsidR="00F90BE2">
        <w:rPr>
          <w:rFonts w:ascii="Tahoma" w:hAnsi="Tahoma" w:cs="Tahoma"/>
          <w:sz w:val="22"/>
          <w:szCs w:val="22"/>
        </w:rPr>
        <w:t>)</w:t>
      </w:r>
      <w:r w:rsidR="00E5290E" w:rsidRPr="00611411">
        <w:rPr>
          <w:rFonts w:ascii="Tahoma" w:hAnsi="Tahoma" w:cs="Tahoma"/>
          <w:sz w:val="22"/>
          <w:szCs w:val="22"/>
        </w:rPr>
        <w:t xml:space="preserve"> par</w:t>
      </w:r>
      <w:r w:rsidR="007C335C" w:rsidRPr="00611411">
        <w:rPr>
          <w:rFonts w:ascii="Tahoma" w:hAnsi="Tahoma" w:cs="Tahoma"/>
          <w:sz w:val="22"/>
          <w:szCs w:val="22"/>
        </w:rPr>
        <w:t>a</w:t>
      </w:r>
      <w:r w:rsidR="00E5290E" w:rsidRPr="00611411">
        <w:rPr>
          <w:rFonts w:ascii="Tahoma" w:hAnsi="Tahoma" w:cs="Tahoma"/>
          <w:sz w:val="22"/>
          <w:szCs w:val="22"/>
        </w:rPr>
        <w:t xml:space="preserve"> este tipo de mercancías</w:t>
      </w:r>
      <w:r w:rsidR="002B4A89" w:rsidRPr="00611411">
        <w:rPr>
          <w:rFonts w:ascii="Tahoma" w:hAnsi="Tahoma" w:cs="Tahoma"/>
          <w:sz w:val="22"/>
          <w:szCs w:val="22"/>
        </w:rPr>
        <w:t>, tenien</w:t>
      </w:r>
      <w:r w:rsidR="007C335C" w:rsidRPr="00611411">
        <w:rPr>
          <w:rFonts w:ascii="Tahoma" w:hAnsi="Tahoma" w:cs="Tahoma"/>
          <w:sz w:val="22"/>
          <w:szCs w:val="22"/>
        </w:rPr>
        <w:t>d</w:t>
      </w:r>
      <w:r w:rsidR="002B4A89" w:rsidRPr="00611411">
        <w:rPr>
          <w:rFonts w:ascii="Tahoma" w:hAnsi="Tahoma" w:cs="Tahoma"/>
          <w:sz w:val="22"/>
          <w:szCs w:val="22"/>
        </w:rPr>
        <w:t>o en consideración el riesgo que se puede generar en el trayecto o almacenamiento de las mismas.</w:t>
      </w:r>
    </w:p>
    <w:p w:rsidR="007C335C" w:rsidRPr="00611411" w:rsidRDefault="007C335C" w:rsidP="00DA001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546717" w:rsidRDefault="00546717" w:rsidP="00EE632C">
      <w:pPr>
        <w:jc w:val="both"/>
        <w:outlineLvl w:val="0"/>
        <w:rPr>
          <w:rFonts w:ascii="Tahoma" w:hAnsi="Tahoma" w:cs="Tahoma"/>
          <w:sz w:val="22"/>
          <w:szCs w:val="22"/>
        </w:rPr>
      </w:pPr>
    </w:p>
    <w:p w:rsidR="007C335C" w:rsidRDefault="007C335C" w:rsidP="00DA001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 w:rsidRPr="00611411">
        <w:rPr>
          <w:rFonts w:ascii="Tahoma" w:hAnsi="Tahoma" w:cs="Tahoma"/>
          <w:sz w:val="22"/>
          <w:szCs w:val="22"/>
        </w:rPr>
        <w:t>Que, asimismo, en el citado Oficio Ordinario se deja constancia que en las últimas operaciones DAPI tramitadas</w:t>
      </w:r>
      <w:r w:rsidR="00611411" w:rsidRPr="00611411">
        <w:rPr>
          <w:rFonts w:ascii="Tahoma" w:hAnsi="Tahoma" w:cs="Tahoma"/>
          <w:sz w:val="22"/>
          <w:szCs w:val="22"/>
        </w:rPr>
        <w:t xml:space="preserve"> las citadas mercancías han debido quedar retenidas por carecer de las autorizaciones que debe otorgar la Dirección General de Movilización Nacional </w:t>
      </w:r>
      <w:r w:rsidR="00F90BE2">
        <w:rPr>
          <w:rFonts w:ascii="Tahoma" w:hAnsi="Tahoma" w:cs="Tahoma"/>
          <w:sz w:val="22"/>
          <w:szCs w:val="22"/>
        </w:rPr>
        <w:t>(</w:t>
      </w:r>
      <w:r w:rsidR="00611411" w:rsidRPr="00611411">
        <w:rPr>
          <w:rFonts w:ascii="Tahoma" w:hAnsi="Tahoma" w:cs="Tahoma"/>
          <w:sz w:val="22"/>
          <w:szCs w:val="22"/>
        </w:rPr>
        <w:t>DGMN</w:t>
      </w:r>
      <w:r w:rsidR="00F90BE2">
        <w:rPr>
          <w:rFonts w:ascii="Tahoma" w:hAnsi="Tahoma" w:cs="Tahoma"/>
          <w:sz w:val="22"/>
          <w:szCs w:val="22"/>
        </w:rPr>
        <w:t>)</w:t>
      </w:r>
      <w:r w:rsidR="00611411" w:rsidRPr="00611411">
        <w:rPr>
          <w:rFonts w:ascii="Tahoma" w:hAnsi="Tahoma" w:cs="Tahoma"/>
          <w:sz w:val="22"/>
          <w:szCs w:val="22"/>
        </w:rPr>
        <w:t>, para su importación, de conformidad con lo prescrito</w:t>
      </w:r>
      <w:r w:rsidR="00BC5266">
        <w:rPr>
          <w:rFonts w:ascii="Tahoma" w:hAnsi="Tahoma" w:cs="Tahoma"/>
          <w:sz w:val="22"/>
          <w:szCs w:val="22"/>
        </w:rPr>
        <w:t xml:space="preserve"> en la Ley N° 21.412, </w:t>
      </w:r>
      <w:r w:rsidR="00BC5266" w:rsidRPr="00BC5266">
        <w:rPr>
          <w:rFonts w:ascii="Tahoma" w:hAnsi="Tahoma" w:cs="Tahoma"/>
          <w:sz w:val="22"/>
          <w:szCs w:val="22"/>
        </w:rPr>
        <w:t>de 13.01.2022, que modifica diversos cuerpos legales para fortalecer el control de armas</w:t>
      </w:r>
      <w:r w:rsidR="00E61750">
        <w:rPr>
          <w:rFonts w:ascii="Tahoma" w:hAnsi="Tahoma" w:cs="Tahoma"/>
          <w:sz w:val="22"/>
          <w:szCs w:val="22"/>
        </w:rPr>
        <w:t>, señalando, además que el origen de esta operación se debe al cese del almacenaje en los re</w:t>
      </w:r>
      <w:r w:rsidR="00F90BE2">
        <w:rPr>
          <w:rFonts w:ascii="Tahoma" w:hAnsi="Tahoma" w:cs="Tahoma"/>
          <w:sz w:val="22"/>
          <w:szCs w:val="22"/>
        </w:rPr>
        <w:t>c</w:t>
      </w:r>
      <w:r w:rsidR="00E61750">
        <w:rPr>
          <w:rFonts w:ascii="Tahoma" w:hAnsi="Tahoma" w:cs="Tahoma"/>
          <w:sz w:val="22"/>
          <w:szCs w:val="22"/>
        </w:rPr>
        <w:t xml:space="preserve">intos de depósito aduanero, mientras se obtiene la certificación correspondiente, lo que no se condice con la normativa actual, toda vez que el certificado debe ser obtenido </w:t>
      </w:r>
      <w:r w:rsidR="00EB20F4">
        <w:rPr>
          <w:rFonts w:ascii="Tahoma" w:hAnsi="Tahoma" w:cs="Tahoma"/>
          <w:sz w:val="22"/>
          <w:szCs w:val="22"/>
        </w:rPr>
        <w:t xml:space="preserve"> previo al </w:t>
      </w:r>
      <w:proofErr w:type="spellStart"/>
      <w:r w:rsidR="00EB20F4">
        <w:rPr>
          <w:rFonts w:ascii="Tahoma" w:hAnsi="Tahoma" w:cs="Tahoma"/>
          <w:sz w:val="22"/>
          <w:szCs w:val="22"/>
        </w:rPr>
        <w:t>al</w:t>
      </w:r>
      <w:proofErr w:type="spellEnd"/>
      <w:r w:rsidR="00EB20F4">
        <w:rPr>
          <w:rFonts w:ascii="Tahoma" w:hAnsi="Tahoma" w:cs="Tahoma"/>
          <w:sz w:val="22"/>
          <w:szCs w:val="22"/>
        </w:rPr>
        <w:t xml:space="preserve"> ingreso de las mercancías al país</w:t>
      </w:r>
      <w:r w:rsidR="00F90BE2">
        <w:rPr>
          <w:rFonts w:ascii="Tahoma" w:hAnsi="Tahoma" w:cs="Tahoma"/>
          <w:sz w:val="22"/>
          <w:szCs w:val="22"/>
        </w:rPr>
        <w:t xml:space="preserve"> y no cuando ya se encuentran almacenadas en los recintos de depósito aduanero.</w:t>
      </w:r>
    </w:p>
    <w:p w:rsidR="003B36F4" w:rsidRDefault="003B36F4" w:rsidP="00DA001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3B36F4" w:rsidRDefault="003B36F4" w:rsidP="00DA001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 w:rsidRPr="003B36F4">
        <w:rPr>
          <w:rFonts w:ascii="Tahoma" w:hAnsi="Tahoma" w:cs="Tahoma"/>
          <w:sz w:val="22"/>
          <w:szCs w:val="22"/>
        </w:rPr>
        <w:t xml:space="preserve">Que, </w:t>
      </w:r>
      <w:r>
        <w:rPr>
          <w:rFonts w:ascii="Tahoma" w:hAnsi="Tahoma" w:cs="Tahoma"/>
          <w:sz w:val="22"/>
          <w:szCs w:val="22"/>
        </w:rPr>
        <w:t xml:space="preserve">por su parte, y </w:t>
      </w:r>
      <w:r w:rsidRPr="003B36F4">
        <w:rPr>
          <w:rFonts w:ascii="Tahoma" w:hAnsi="Tahoma" w:cs="Tahoma"/>
          <w:sz w:val="22"/>
          <w:szCs w:val="22"/>
        </w:rPr>
        <w:t>conforme al análisis de la Subdirección de F</w:t>
      </w:r>
      <w:r>
        <w:rPr>
          <w:rFonts w:ascii="Tahoma" w:hAnsi="Tahoma" w:cs="Tahoma"/>
          <w:sz w:val="22"/>
          <w:szCs w:val="22"/>
        </w:rPr>
        <w:t xml:space="preserve">iscalización del Servicio, </w:t>
      </w:r>
      <w:proofErr w:type="gramStart"/>
      <w:r>
        <w:rPr>
          <w:rFonts w:ascii="Tahoma" w:hAnsi="Tahoma" w:cs="Tahoma"/>
          <w:sz w:val="22"/>
          <w:szCs w:val="22"/>
        </w:rPr>
        <w:t xml:space="preserve">los </w:t>
      </w:r>
      <w:r w:rsidRPr="003B36F4">
        <w:rPr>
          <w:rFonts w:ascii="Tahoma" w:hAnsi="Tahoma" w:cs="Tahoma"/>
          <w:sz w:val="22"/>
          <w:szCs w:val="22"/>
        </w:rPr>
        <w:t xml:space="preserve"> riesgo</w:t>
      </w:r>
      <w:r>
        <w:rPr>
          <w:rFonts w:ascii="Tahoma" w:hAnsi="Tahoma" w:cs="Tahoma"/>
          <w:sz w:val="22"/>
          <w:szCs w:val="22"/>
        </w:rPr>
        <w:t>s</w:t>
      </w:r>
      <w:proofErr w:type="gramEnd"/>
      <w:r>
        <w:rPr>
          <w:rFonts w:ascii="Tahoma" w:hAnsi="Tahoma" w:cs="Tahoma"/>
          <w:sz w:val="22"/>
          <w:szCs w:val="22"/>
        </w:rPr>
        <w:t xml:space="preserve"> en las Declaraciones de Almacé</w:t>
      </w:r>
      <w:r w:rsidRPr="003B36F4">
        <w:rPr>
          <w:rFonts w:ascii="Tahoma" w:hAnsi="Tahoma" w:cs="Tahoma"/>
          <w:sz w:val="22"/>
          <w:szCs w:val="22"/>
        </w:rPr>
        <w:t>n Particular puede presentarse en operaciones de todas las aduanas del país, siendo necesario adoptar medidas uniformes en la materia.</w:t>
      </w:r>
    </w:p>
    <w:p w:rsidR="00546717" w:rsidRDefault="00546717" w:rsidP="00DA001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134F3E" w:rsidRDefault="0095112E" w:rsidP="00DA001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en razón de lo </w:t>
      </w:r>
      <w:r w:rsidR="003B36F4">
        <w:rPr>
          <w:rFonts w:ascii="Tahoma" w:hAnsi="Tahoma" w:cs="Tahoma"/>
          <w:sz w:val="22"/>
          <w:szCs w:val="22"/>
        </w:rPr>
        <w:t>expuesto</w:t>
      </w:r>
      <w:r>
        <w:rPr>
          <w:rFonts w:ascii="Tahoma" w:hAnsi="Tahoma" w:cs="Tahoma"/>
          <w:sz w:val="22"/>
          <w:szCs w:val="22"/>
        </w:rPr>
        <w:t xml:space="preserve">, es de suma importancia </w:t>
      </w:r>
      <w:r w:rsidR="00F20FD9">
        <w:rPr>
          <w:rFonts w:ascii="Tahoma" w:hAnsi="Tahoma" w:cs="Tahoma"/>
          <w:sz w:val="22"/>
          <w:szCs w:val="22"/>
        </w:rPr>
        <w:t>considerar</w:t>
      </w:r>
      <w:r w:rsidR="00391DF4">
        <w:rPr>
          <w:rFonts w:ascii="Tahoma" w:hAnsi="Tahoma" w:cs="Tahoma"/>
          <w:sz w:val="22"/>
          <w:szCs w:val="22"/>
        </w:rPr>
        <w:t xml:space="preserve">, </w:t>
      </w:r>
      <w:r w:rsidR="003B36F4">
        <w:rPr>
          <w:rFonts w:ascii="Tahoma" w:hAnsi="Tahoma" w:cs="Tahoma"/>
          <w:sz w:val="22"/>
          <w:szCs w:val="22"/>
        </w:rPr>
        <w:t>además,</w:t>
      </w:r>
      <w:r w:rsidR="00F20FD9">
        <w:rPr>
          <w:rFonts w:ascii="Tahoma" w:hAnsi="Tahoma" w:cs="Tahoma"/>
          <w:sz w:val="22"/>
          <w:szCs w:val="22"/>
        </w:rPr>
        <w:t xml:space="preserve"> el actual contexto social en materia de delincuencia, donde </w:t>
      </w:r>
      <w:r w:rsidR="00EE46E5">
        <w:rPr>
          <w:rFonts w:ascii="Tahoma" w:hAnsi="Tahoma" w:cs="Tahoma"/>
          <w:sz w:val="22"/>
          <w:szCs w:val="22"/>
        </w:rPr>
        <w:t>se</w:t>
      </w:r>
      <w:r w:rsidR="00546717">
        <w:rPr>
          <w:rFonts w:ascii="Tahoma" w:hAnsi="Tahoma" w:cs="Tahoma"/>
          <w:sz w:val="22"/>
          <w:szCs w:val="22"/>
        </w:rPr>
        <w:t xml:space="preserve"> ha podido observar un aumento </w:t>
      </w:r>
      <w:r w:rsidR="00EE46E5">
        <w:rPr>
          <w:rFonts w:ascii="Tahoma" w:hAnsi="Tahoma" w:cs="Tahoma"/>
          <w:sz w:val="22"/>
          <w:szCs w:val="22"/>
        </w:rPr>
        <w:t>en</w:t>
      </w:r>
      <w:r w:rsidR="00F20FD9">
        <w:rPr>
          <w:rFonts w:ascii="Tahoma" w:hAnsi="Tahoma" w:cs="Tahoma"/>
          <w:sz w:val="22"/>
          <w:szCs w:val="22"/>
        </w:rPr>
        <w:t xml:space="preserve"> la comisión de ilícitos </w:t>
      </w:r>
      <w:r w:rsidR="00EE46E5">
        <w:rPr>
          <w:rFonts w:ascii="Tahoma" w:hAnsi="Tahoma" w:cs="Tahoma"/>
          <w:sz w:val="22"/>
          <w:szCs w:val="22"/>
        </w:rPr>
        <w:t>al amparo de armas de fuego, afectándose con ello la seguridad ciudadana, vulner</w:t>
      </w:r>
      <w:r w:rsidR="00353625">
        <w:rPr>
          <w:rFonts w:ascii="Tahoma" w:hAnsi="Tahoma" w:cs="Tahoma"/>
          <w:sz w:val="22"/>
          <w:szCs w:val="22"/>
        </w:rPr>
        <w:t>ándose la propiedad privada y p</w:t>
      </w:r>
      <w:r w:rsidR="00F03B8A">
        <w:rPr>
          <w:rFonts w:ascii="Tahoma" w:hAnsi="Tahoma" w:cs="Tahoma"/>
          <w:sz w:val="22"/>
          <w:szCs w:val="22"/>
        </w:rPr>
        <w:t>ú</w:t>
      </w:r>
      <w:r w:rsidR="00353625">
        <w:rPr>
          <w:rFonts w:ascii="Tahoma" w:hAnsi="Tahoma" w:cs="Tahoma"/>
          <w:sz w:val="22"/>
          <w:szCs w:val="22"/>
        </w:rPr>
        <w:t>blica;</w:t>
      </w:r>
      <w:r w:rsidR="00EE46E5">
        <w:rPr>
          <w:rFonts w:ascii="Tahoma" w:hAnsi="Tahoma" w:cs="Tahoma"/>
          <w:sz w:val="22"/>
          <w:szCs w:val="22"/>
        </w:rPr>
        <w:t xml:space="preserve"> </w:t>
      </w:r>
      <w:r w:rsidR="00353625">
        <w:rPr>
          <w:rFonts w:ascii="Tahoma" w:hAnsi="Tahoma" w:cs="Tahoma"/>
          <w:sz w:val="22"/>
          <w:szCs w:val="22"/>
        </w:rPr>
        <w:t xml:space="preserve">y </w:t>
      </w:r>
      <w:r w:rsidR="00EE46E5">
        <w:rPr>
          <w:rFonts w:ascii="Tahoma" w:hAnsi="Tahoma" w:cs="Tahoma"/>
          <w:sz w:val="22"/>
          <w:szCs w:val="22"/>
        </w:rPr>
        <w:t>poniéndose en riesgo</w:t>
      </w:r>
      <w:r w:rsidR="00353625">
        <w:rPr>
          <w:rFonts w:ascii="Tahoma" w:hAnsi="Tahoma" w:cs="Tahoma"/>
          <w:sz w:val="22"/>
          <w:szCs w:val="22"/>
        </w:rPr>
        <w:t xml:space="preserve"> el libre ejercicio de los derechos </w:t>
      </w:r>
      <w:r w:rsidR="00134F3E">
        <w:rPr>
          <w:rFonts w:ascii="Tahoma" w:hAnsi="Tahoma" w:cs="Tahoma"/>
          <w:sz w:val="22"/>
          <w:szCs w:val="22"/>
        </w:rPr>
        <w:t>propios de un Estado de Derecho.</w:t>
      </w:r>
    </w:p>
    <w:p w:rsidR="00134F3E" w:rsidRDefault="00134F3E" w:rsidP="00DA001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95112E" w:rsidRDefault="00134F3E" w:rsidP="008246BC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por su parte, el artículo 109, inciso primero, de la Ordenanza de Aduanas, </w:t>
      </w:r>
      <w:r w:rsidR="008246BC">
        <w:rPr>
          <w:rFonts w:ascii="Tahoma" w:hAnsi="Tahoma" w:cs="Tahoma"/>
          <w:sz w:val="22"/>
          <w:szCs w:val="22"/>
        </w:rPr>
        <w:t>al r</w:t>
      </w:r>
      <w:r>
        <w:rPr>
          <w:rFonts w:ascii="Tahoma" w:hAnsi="Tahoma" w:cs="Tahoma"/>
          <w:sz w:val="22"/>
          <w:szCs w:val="22"/>
        </w:rPr>
        <w:t>egula</w:t>
      </w:r>
      <w:r w:rsidR="008246BC"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 el régimen suspensivo de almacén particular, prescribe </w:t>
      </w:r>
      <w:r w:rsidR="008246BC">
        <w:rPr>
          <w:rFonts w:ascii="Tahoma" w:hAnsi="Tahoma" w:cs="Tahoma"/>
          <w:sz w:val="22"/>
          <w:szCs w:val="22"/>
        </w:rPr>
        <w:t xml:space="preserve">que: </w:t>
      </w:r>
      <w:r w:rsidR="008246BC" w:rsidRPr="00BF44E6">
        <w:rPr>
          <w:rFonts w:ascii="Tahoma" w:hAnsi="Tahoma" w:cs="Tahoma"/>
          <w:i/>
          <w:iCs/>
          <w:sz w:val="22"/>
          <w:szCs w:val="22"/>
        </w:rPr>
        <w:t>“El Director Nacional de Aduanas podrá habilitar hasta por noventa días, de oficio o a petición  de los interesados, determinados locales o recintos particulares para el depósito de mercancías, sin previo pago de los derechos e impuestos que causen en su importación</w:t>
      </w:r>
      <w:r w:rsidR="00F03B8A" w:rsidRPr="00BF44E6">
        <w:rPr>
          <w:rFonts w:ascii="Tahoma" w:hAnsi="Tahoma" w:cs="Tahoma"/>
          <w:i/>
          <w:iCs/>
          <w:sz w:val="22"/>
          <w:szCs w:val="22"/>
        </w:rPr>
        <w:t>”</w:t>
      </w:r>
      <w:r w:rsidR="00BF44E6">
        <w:rPr>
          <w:rFonts w:ascii="Tahoma" w:hAnsi="Tahoma" w:cs="Tahoma"/>
          <w:i/>
          <w:iCs/>
          <w:sz w:val="22"/>
          <w:szCs w:val="22"/>
        </w:rPr>
        <w:t xml:space="preserve">, </w:t>
      </w:r>
      <w:r w:rsidR="00BF44E6" w:rsidRPr="00BF44E6">
        <w:rPr>
          <w:rFonts w:ascii="Tahoma" w:hAnsi="Tahoma" w:cs="Tahoma"/>
          <w:sz w:val="22"/>
          <w:szCs w:val="22"/>
        </w:rPr>
        <w:t xml:space="preserve">quedando de manifiesto </w:t>
      </w:r>
      <w:r w:rsidR="00BD383A">
        <w:rPr>
          <w:rFonts w:ascii="Tahoma" w:hAnsi="Tahoma" w:cs="Tahoma"/>
          <w:sz w:val="22"/>
          <w:szCs w:val="22"/>
        </w:rPr>
        <w:t xml:space="preserve">el </w:t>
      </w:r>
      <w:r w:rsidR="00887C9C">
        <w:rPr>
          <w:rFonts w:ascii="Tahoma" w:hAnsi="Tahoma" w:cs="Tahoma"/>
          <w:sz w:val="22"/>
          <w:szCs w:val="22"/>
        </w:rPr>
        <w:t>c</w:t>
      </w:r>
      <w:r w:rsidR="00BD383A">
        <w:rPr>
          <w:rFonts w:ascii="Tahoma" w:hAnsi="Tahoma" w:cs="Tahoma"/>
          <w:sz w:val="22"/>
          <w:szCs w:val="22"/>
        </w:rPr>
        <w:t>arácter facultativo</w:t>
      </w:r>
      <w:r w:rsidR="00887C9C">
        <w:rPr>
          <w:rFonts w:ascii="Tahoma" w:hAnsi="Tahoma" w:cs="Tahoma"/>
          <w:sz w:val="22"/>
          <w:szCs w:val="22"/>
        </w:rPr>
        <w:t xml:space="preserve"> de su concesión</w:t>
      </w:r>
      <w:r w:rsidR="00BA5CC5">
        <w:rPr>
          <w:rFonts w:ascii="Tahoma" w:hAnsi="Tahoma" w:cs="Tahoma"/>
          <w:sz w:val="22"/>
          <w:szCs w:val="22"/>
        </w:rPr>
        <w:t>, lo que consta a su vez, en el numeral 15 del Capítulo III, del Compendio de Normas Aduaneras.</w:t>
      </w:r>
    </w:p>
    <w:p w:rsidR="00043CFB" w:rsidRDefault="00043CFB" w:rsidP="00353459">
      <w:pPr>
        <w:jc w:val="both"/>
        <w:outlineLvl w:val="0"/>
        <w:rPr>
          <w:rFonts w:ascii="Tahoma" w:hAnsi="Tahoma" w:cs="Tahoma"/>
          <w:sz w:val="22"/>
          <w:szCs w:val="22"/>
        </w:rPr>
      </w:pPr>
    </w:p>
    <w:p w:rsidR="00BF44E6" w:rsidRPr="004121AE" w:rsidRDefault="00BA5CC5" w:rsidP="000D40DF">
      <w:pPr>
        <w:ind w:left="142"/>
        <w:jc w:val="both"/>
        <w:outlineLvl w:val="0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Que, la Ley N° 21.412</w:t>
      </w:r>
      <w:r w:rsidR="00351086">
        <w:rPr>
          <w:rFonts w:ascii="Tahoma" w:hAnsi="Tahoma" w:cs="Tahoma"/>
          <w:sz w:val="22"/>
          <w:szCs w:val="22"/>
        </w:rPr>
        <w:t xml:space="preserve"> ya citada, introd</w:t>
      </w:r>
      <w:r w:rsidR="004121AE">
        <w:rPr>
          <w:rFonts w:ascii="Tahoma" w:hAnsi="Tahoma" w:cs="Tahoma"/>
          <w:sz w:val="22"/>
          <w:szCs w:val="22"/>
        </w:rPr>
        <w:t>uce</w:t>
      </w:r>
      <w:r w:rsidR="00351086">
        <w:rPr>
          <w:rFonts w:ascii="Tahoma" w:hAnsi="Tahoma" w:cs="Tahoma"/>
          <w:sz w:val="22"/>
          <w:szCs w:val="22"/>
        </w:rPr>
        <w:t xml:space="preserve"> modificaciones a la Ley N°17.798, sobre control de armas, reemplazando en su artículo 2</w:t>
      </w:r>
      <w:r w:rsidR="00981ADC">
        <w:rPr>
          <w:rFonts w:ascii="Tahoma" w:hAnsi="Tahoma" w:cs="Tahoma"/>
          <w:sz w:val="22"/>
          <w:szCs w:val="22"/>
        </w:rPr>
        <w:t>,</w:t>
      </w:r>
      <w:r w:rsidR="00351086">
        <w:rPr>
          <w:rFonts w:ascii="Tahoma" w:hAnsi="Tahoma" w:cs="Tahoma"/>
          <w:sz w:val="22"/>
          <w:szCs w:val="22"/>
        </w:rPr>
        <w:t xml:space="preserve"> la letra b), por la cual se definen las armas de fuego </w:t>
      </w:r>
      <w:proofErr w:type="gramStart"/>
      <w:r w:rsidR="004121AE">
        <w:rPr>
          <w:rFonts w:ascii="Tahoma" w:hAnsi="Tahoma" w:cs="Tahoma"/>
          <w:sz w:val="22"/>
          <w:szCs w:val="22"/>
        </w:rPr>
        <w:t xml:space="preserve">como </w:t>
      </w:r>
      <w:r w:rsidR="004121AE" w:rsidRPr="004121AE">
        <w:rPr>
          <w:rFonts w:ascii="Tahoma" w:hAnsi="Tahoma" w:cs="Tahoma"/>
          <w:i/>
          <w:iCs/>
          <w:sz w:val="22"/>
          <w:szCs w:val="22"/>
        </w:rPr>
        <w:t>”</w:t>
      </w:r>
      <w:proofErr w:type="gramEnd"/>
      <w:r w:rsidR="004121AE" w:rsidRPr="004121AE">
        <w:rPr>
          <w:rFonts w:ascii="Tahoma" w:hAnsi="Tahoma" w:cs="Tahoma"/>
          <w:i/>
          <w:iCs/>
          <w:sz w:val="22"/>
          <w:szCs w:val="22"/>
        </w:rPr>
        <w:t>…</w:t>
      </w:r>
      <w:r w:rsidR="004121AE" w:rsidRPr="004121AE">
        <w:rPr>
          <w:i/>
          <w:iCs/>
        </w:rPr>
        <w:t xml:space="preserve"> </w:t>
      </w:r>
      <w:r w:rsidR="004121AE" w:rsidRPr="004121AE">
        <w:rPr>
          <w:rFonts w:ascii="Tahoma" w:hAnsi="Tahoma" w:cs="Tahoma"/>
          <w:i/>
          <w:iCs/>
          <w:sz w:val="22"/>
          <w:szCs w:val="22"/>
        </w:rPr>
        <w:t>toda aquella que tenga cañón y que dispare, que esté concebida para disparar o que pueda adaptarse o transformarse para disparar municiones o cartuchos, aprovechando la fuerza de la expansión de los gases de la pólvora, o cualquier compuesto químico”.</w:t>
      </w:r>
    </w:p>
    <w:p w:rsidR="004121AE" w:rsidRDefault="004121AE" w:rsidP="004121AE">
      <w:pPr>
        <w:ind w:firstLine="142"/>
        <w:jc w:val="both"/>
        <w:outlineLvl w:val="0"/>
        <w:rPr>
          <w:rFonts w:ascii="Tahoma" w:hAnsi="Tahoma" w:cs="Tahoma"/>
          <w:i/>
          <w:iCs/>
          <w:sz w:val="22"/>
          <w:szCs w:val="22"/>
        </w:rPr>
      </w:pPr>
    </w:p>
    <w:p w:rsidR="006F6FF0" w:rsidRPr="00353459" w:rsidRDefault="004121AE" w:rsidP="000D40DF">
      <w:pPr>
        <w:ind w:left="142"/>
        <w:jc w:val="both"/>
        <w:outlineLvl w:val="0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</w:t>
      </w:r>
      <w:r w:rsidR="00353459">
        <w:rPr>
          <w:rFonts w:ascii="Tahoma" w:hAnsi="Tahoma" w:cs="Tahoma"/>
          <w:sz w:val="22"/>
          <w:szCs w:val="22"/>
        </w:rPr>
        <w:t xml:space="preserve">a su turno, el artículo </w:t>
      </w:r>
      <w:r w:rsidR="006F6FF0" w:rsidRPr="006F6FF0">
        <w:rPr>
          <w:rFonts w:ascii="Tahoma" w:hAnsi="Tahoma" w:cs="Tahoma"/>
          <w:sz w:val="22"/>
          <w:szCs w:val="22"/>
        </w:rPr>
        <w:t>4 A, incisos primero y segundo, agregado como nueva disposición por la</w:t>
      </w:r>
      <w:r w:rsidR="00353459">
        <w:rPr>
          <w:rFonts w:ascii="Tahoma" w:hAnsi="Tahoma" w:cs="Tahoma"/>
          <w:sz w:val="22"/>
          <w:szCs w:val="22"/>
        </w:rPr>
        <w:t xml:space="preserve"> </w:t>
      </w:r>
      <w:r w:rsidR="00F81C58">
        <w:rPr>
          <w:rFonts w:ascii="Tahoma" w:hAnsi="Tahoma" w:cs="Tahoma"/>
          <w:sz w:val="22"/>
          <w:szCs w:val="22"/>
        </w:rPr>
        <w:t>ref</w:t>
      </w:r>
      <w:r w:rsidR="00981ADC">
        <w:rPr>
          <w:rFonts w:ascii="Tahoma" w:hAnsi="Tahoma" w:cs="Tahoma"/>
          <w:sz w:val="22"/>
          <w:szCs w:val="22"/>
        </w:rPr>
        <w:t>e</w:t>
      </w:r>
      <w:r w:rsidR="00F81C58">
        <w:rPr>
          <w:rFonts w:ascii="Tahoma" w:hAnsi="Tahoma" w:cs="Tahoma"/>
          <w:sz w:val="22"/>
          <w:szCs w:val="22"/>
        </w:rPr>
        <w:t xml:space="preserve">rida </w:t>
      </w:r>
      <w:r w:rsidR="00353459">
        <w:rPr>
          <w:rFonts w:ascii="Tahoma" w:hAnsi="Tahoma" w:cs="Tahoma"/>
          <w:sz w:val="22"/>
          <w:szCs w:val="22"/>
        </w:rPr>
        <w:t>ley</w:t>
      </w:r>
      <w:r w:rsidR="00F81C58">
        <w:rPr>
          <w:rFonts w:ascii="Tahoma" w:hAnsi="Tahoma" w:cs="Tahoma"/>
          <w:sz w:val="22"/>
          <w:szCs w:val="22"/>
        </w:rPr>
        <w:t>,</w:t>
      </w:r>
      <w:r w:rsidR="006F6FF0" w:rsidRPr="006F6FF0">
        <w:rPr>
          <w:rFonts w:ascii="Tahoma" w:hAnsi="Tahoma" w:cs="Tahoma"/>
          <w:sz w:val="22"/>
          <w:szCs w:val="22"/>
        </w:rPr>
        <w:t xml:space="preserve"> </w:t>
      </w:r>
      <w:r w:rsidR="00981ADC">
        <w:rPr>
          <w:rFonts w:ascii="Tahoma" w:hAnsi="Tahoma" w:cs="Tahoma"/>
          <w:sz w:val="22"/>
          <w:szCs w:val="22"/>
        </w:rPr>
        <w:t>actualmente</w:t>
      </w:r>
      <w:r w:rsidR="006F6FF0" w:rsidRPr="006F6FF0">
        <w:rPr>
          <w:rFonts w:ascii="Tahoma" w:hAnsi="Tahoma" w:cs="Tahoma"/>
          <w:sz w:val="22"/>
          <w:szCs w:val="22"/>
        </w:rPr>
        <w:t xml:space="preserve"> vigente, dispone lo siguiente: </w:t>
      </w:r>
      <w:r w:rsidR="006F6FF0" w:rsidRPr="00353459">
        <w:rPr>
          <w:rFonts w:ascii="Tahoma" w:hAnsi="Tahoma" w:cs="Tahoma"/>
          <w:i/>
          <w:iCs/>
          <w:sz w:val="22"/>
          <w:szCs w:val="22"/>
        </w:rPr>
        <w:t xml:space="preserve">“Previo al ingreso al país de armas de fuego o municiones, el consignatario o importador, según el caso, deberá informar a la Dirección General de Movilización Nacional sobre su origen, e incluirá tanto al fabricante como a los intermediarios que hubieren tenido el arma o municiones con anterioridad al referido ingreso. Dicha institución deberá entregar un certificado que acredite el cumplimiento de la diligencia antes referida, el que deberá ser presentado por el consignatario o importador, según corresponda, ante el Servicio Nacional de Aduanas al ingresar la mercancía. </w:t>
      </w:r>
    </w:p>
    <w:p w:rsidR="004121AE" w:rsidRDefault="006F6FF0" w:rsidP="000D40DF">
      <w:pPr>
        <w:ind w:left="142"/>
        <w:jc w:val="both"/>
        <w:outlineLvl w:val="0"/>
        <w:rPr>
          <w:rFonts w:ascii="Tahoma" w:hAnsi="Tahoma" w:cs="Tahoma"/>
          <w:i/>
          <w:iCs/>
          <w:sz w:val="22"/>
          <w:szCs w:val="22"/>
        </w:rPr>
      </w:pPr>
      <w:r w:rsidRPr="00353459">
        <w:rPr>
          <w:rFonts w:ascii="Tahoma" w:hAnsi="Tahoma" w:cs="Tahoma"/>
          <w:i/>
          <w:iCs/>
          <w:sz w:val="22"/>
          <w:szCs w:val="22"/>
        </w:rPr>
        <w:t>Toda arma de fuego o munición que ingrese al país y que no cuente con el certificado previsto en este artículo será retenida por el Servicio Nacional de Aduanas y remitida a la autoridad fiscalizadora correspondiente, sin perjuicio de lo dispuesto en el inciso primero del artículo 23. El consignatario o importador, según el caso, podrá recuperar el arma de fuego o munición sólo una vez que haya informado satisfactoriamente a la Dirección General de Movilización Nacional sobre el origen e intermediarios del arma o municiones, y emitirá al efecto el certificado a que se refiere el inciso anterior, el que deberá ser presentado ante el Servicio Nacional de Aduanas para cursar la destinación aduanera”.</w:t>
      </w:r>
    </w:p>
    <w:p w:rsidR="00353459" w:rsidRDefault="00353459" w:rsidP="00353459">
      <w:pPr>
        <w:jc w:val="both"/>
        <w:outlineLvl w:val="0"/>
        <w:rPr>
          <w:rFonts w:ascii="Tahoma" w:hAnsi="Tahoma" w:cs="Tahoma"/>
          <w:i/>
          <w:iCs/>
          <w:sz w:val="22"/>
          <w:szCs w:val="22"/>
        </w:rPr>
      </w:pPr>
    </w:p>
    <w:p w:rsidR="004121AE" w:rsidRDefault="00353459" w:rsidP="000D40DF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 w:rsidRPr="00353459">
        <w:rPr>
          <w:rFonts w:ascii="Tahoma" w:hAnsi="Tahoma" w:cs="Tahoma"/>
          <w:sz w:val="22"/>
          <w:szCs w:val="22"/>
        </w:rPr>
        <w:t>Que</w:t>
      </w:r>
      <w:r>
        <w:rPr>
          <w:rFonts w:ascii="Tahoma" w:hAnsi="Tahoma" w:cs="Tahoma"/>
          <w:sz w:val="22"/>
          <w:szCs w:val="22"/>
        </w:rPr>
        <w:t xml:space="preserve">, </w:t>
      </w:r>
      <w:r w:rsidR="00981ADC">
        <w:rPr>
          <w:rFonts w:ascii="Tahoma" w:hAnsi="Tahoma" w:cs="Tahoma"/>
          <w:sz w:val="22"/>
          <w:szCs w:val="22"/>
        </w:rPr>
        <w:t>según lo expuesto</w:t>
      </w:r>
      <w:r w:rsidR="00F23AF0">
        <w:rPr>
          <w:rFonts w:ascii="Tahoma" w:hAnsi="Tahoma" w:cs="Tahoma"/>
          <w:sz w:val="22"/>
          <w:szCs w:val="22"/>
        </w:rPr>
        <w:t xml:space="preserve">, es dable colegir que </w:t>
      </w:r>
      <w:r w:rsidR="00B3389C">
        <w:rPr>
          <w:rFonts w:ascii="Tahoma" w:hAnsi="Tahoma" w:cs="Tahoma"/>
          <w:sz w:val="22"/>
          <w:szCs w:val="22"/>
        </w:rPr>
        <w:t>existen fundamentos suficientes para acceder a lo solicitado por la Direcci</w:t>
      </w:r>
      <w:r w:rsidR="00981ADC">
        <w:rPr>
          <w:rFonts w:ascii="Tahoma" w:hAnsi="Tahoma" w:cs="Tahoma"/>
          <w:sz w:val="22"/>
          <w:szCs w:val="22"/>
        </w:rPr>
        <w:t>ó</w:t>
      </w:r>
      <w:r w:rsidR="00B3389C">
        <w:rPr>
          <w:rFonts w:ascii="Tahoma" w:hAnsi="Tahoma" w:cs="Tahoma"/>
          <w:sz w:val="22"/>
          <w:szCs w:val="22"/>
        </w:rPr>
        <w:t>n Regional de la Aduana Metropolitana, pues la certificación que debe otorgar la Dirección General de Movilización Nacional</w:t>
      </w:r>
      <w:r w:rsidR="00D26446">
        <w:rPr>
          <w:rFonts w:ascii="Tahoma" w:hAnsi="Tahoma" w:cs="Tahoma"/>
          <w:sz w:val="22"/>
          <w:szCs w:val="22"/>
        </w:rPr>
        <w:t>,</w:t>
      </w:r>
      <w:r w:rsidR="00B3389C">
        <w:rPr>
          <w:rFonts w:ascii="Tahoma" w:hAnsi="Tahoma" w:cs="Tahoma"/>
          <w:sz w:val="22"/>
          <w:szCs w:val="22"/>
        </w:rPr>
        <w:t xml:space="preserve"> </w:t>
      </w:r>
      <w:r w:rsidR="000B2CBD">
        <w:rPr>
          <w:rFonts w:ascii="Tahoma" w:hAnsi="Tahoma" w:cs="Tahoma"/>
          <w:sz w:val="22"/>
          <w:szCs w:val="22"/>
        </w:rPr>
        <w:t>tiene su origen en la obligación del importador</w:t>
      </w:r>
      <w:r w:rsidR="002670CB">
        <w:rPr>
          <w:rFonts w:ascii="Tahoma" w:hAnsi="Tahoma" w:cs="Tahoma"/>
          <w:sz w:val="22"/>
          <w:szCs w:val="22"/>
        </w:rPr>
        <w:t xml:space="preserve"> -</w:t>
      </w:r>
      <w:r w:rsidR="000B2CBD">
        <w:rPr>
          <w:rFonts w:ascii="Tahoma" w:hAnsi="Tahoma" w:cs="Tahoma"/>
          <w:sz w:val="22"/>
          <w:szCs w:val="22"/>
        </w:rPr>
        <w:t>previo al ingreso de armas de fuego</w:t>
      </w:r>
      <w:r w:rsidR="002670CB">
        <w:rPr>
          <w:rFonts w:ascii="Tahoma" w:hAnsi="Tahoma" w:cs="Tahoma"/>
          <w:sz w:val="22"/>
          <w:szCs w:val="22"/>
        </w:rPr>
        <w:t xml:space="preserve"> al país-</w:t>
      </w:r>
      <w:r w:rsidR="000B2CBD">
        <w:rPr>
          <w:rFonts w:ascii="Tahoma" w:hAnsi="Tahoma" w:cs="Tahoma"/>
          <w:sz w:val="22"/>
          <w:szCs w:val="22"/>
        </w:rPr>
        <w:t xml:space="preserve"> de informar a la DGMN sobre el origen, incluyendo al fabricante como a los intermediarios</w:t>
      </w:r>
      <w:r w:rsidR="00D26446">
        <w:rPr>
          <w:rFonts w:ascii="Tahoma" w:hAnsi="Tahoma" w:cs="Tahoma"/>
          <w:sz w:val="22"/>
          <w:szCs w:val="22"/>
        </w:rPr>
        <w:t xml:space="preserve">. Dicha autoridad debe certificar el cumplimiento de </w:t>
      </w:r>
      <w:r w:rsidR="002670CB">
        <w:rPr>
          <w:rFonts w:ascii="Tahoma" w:hAnsi="Tahoma" w:cs="Tahoma"/>
          <w:sz w:val="22"/>
          <w:szCs w:val="22"/>
        </w:rPr>
        <w:t xml:space="preserve">la aludida </w:t>
      </w:r>
      <w:r w:rsidR="00D26446">
        <w:rPr>
          <w:rFonts w:ascii="Tahoma" w:hAnsi="Tahoma" w:cs="Tahoma"/>
          <w:sz w:val="22"/>
          <w:szCs w:val="22"/>
        </w:rPr>
        <w:t>obligación, certificado que debe ser presentado por el consignatario o importador ante el Servicio Nacional de Aduanas</w:t>
      </w:r>
      <w:r w:rsidR="00775C00">
        <w:rPr>
          <w:rFonts w:ascii="Tahoma" w:hAnsi="Tahoma" w:cs="Tahoma"/>
          <w:sz w:val="22"/>
          <w:szCs w:val="22"/>
        </w:rPr>
        <w:t xml:space="preserve">, al ingresar la mercancía. </w:t>
      </w:r>
      <w:r w:rsidR="003F114E">
        <w:rPr>
          <w:rFonts w:ascii="Tahoma" w:hAnsi="Tahoma" w:cs="Tahoma"/>
          <w:sz w:val="22"/>
          <w:szCs w:val="22"/>
        </w:rPr>
        <w:t>Es decir, s</w:t>
      </w:r>
      <w:r w:rsidR="00775C00">
        <w:rPr>
          <w:rFonts w:ascii="Tahoma" w:hAnsi="Tahoma" w:cs="Tahoma"/>
          <w:sz w:val="22"/>
          <w:szCs w:val="22"/>
        </w:rPr>
        <w:t xml:space="preserve">i la mercancía o armas de fuego, no cuentan con el certificado </w:t>
      </w:r>
      <w:r w:rsidR="002670CB">
        <w:rPr>
          <w:rFonts w:ascii="Tahoma" w:hAnsi="Tahoma" w:cs="Tahoma"/>
          <w:sz w:val="22"/>
          <w:szCs w:val="22"/>
        </w:rPr>
        <w:t xml:space="preserve">respectivo, corresponderá al Servicio </w:t>
      </w:r>
      <w:r w:rsidR="0074395A">
        <w:rPr>
          <w:rFonts w:ascii="Tahoma" w:hAnsi="Tahoma" w:cs="Tahoma"/>
          <w:sz w:val="22"/>
          <w:szCs w:val="22"/>
        </w:rPr>
        <w:t>r</w:t>
      </w:r>
      <w:r w:rsidR="002670CB">
        <w:rPr>
          <w:rFonts w:ascii="Tahoma" w:hAnsi="Tahoma" w:cs="Tahoma"/>
          <w:sz w:val="22"/>
          <w:szCs w:val="22"/>
        </w:rPr>
        <w:t>ete</w:t>
      </w:r>
      <w:r w:rsidR="00D66E29">
        <w:rPr>
          <w:rFonts w:ascii="Tahoma" w:hAnsi="Tahoma" w:cs="Tahoma"/>
          <w:sz w:val="22"/>
          <w:szCs w:val="22"/>
        </w:rPr>
        <w:t>ne</w:t>
      </w:r>
      <w:r w:rsidR="002670CB">
        <w:rPr>
          <w:rFonts w:ascii="Tahoma" w:hAnsi="Tahoma" w:cs="Tahoma"/>
          <w:sz w:val="22"/>
          <w:szCs w:val="22"/>
        </w:rPr>
        <w:t>r</w:t>
      </w:r>
      <w:r w:rsidR="003F114E">
        <w:rPr>
          <w:rFonts w:ascii="Tahoma" w:hAnsi="Tahoma" w:cs="Tahoma"/>
          <w:sz w:val="22"/>
          <w:szCs w:val="22"/>
        </w:rPr>
        <w:t>las</w:t>
      </w:r>
      <w:r w:rsidR="002670CB">
        <w:rPr>
          <w:rFonts w:ascii="Tahoma" w:hAnsi="Tahoma" w:cs="Tahoma"/>
          <w:sz w:val="22"/>
          <w:szCs w:val="22"/>
        </w:rPr>
        <w:t xml:space="preserve"> y remitirla</w:t>
      </w:r>
      <w:r w:rsidR="003F114E">
        <w:rPr>
          <w:rFonts w:ascii="Tahoma" w:hAnsi="Tahoma" w:cs="Tahoma"/>
          <w:sz w:val="22"/>
          <w:szCs w:val="22"/>
        </w:rPr>
        <w:t>s</w:t>
      </w:r>
      <w:r w:rsidR="002670CB">
        <w:rPr>
          <w:rFonts w:ascii="Tahoma" w:hAnsi="Tahoma" w:cs="Tahoma"/>
          <w:sz w:val="22"/>
          <w:szCs w:val="22"/>
        </w:rPr>
        <w:t xml:space="preserve"> a la autoridad fiscalizadora correspondiente</w:t>
      </w:r>
      <w:r w:rsidR="00043CFB">
        <w:rPr>
          <w:rFonts w:ascii="Tahoma" w:hAnsi="Tahoma" w:cs="Tahoma"/>
          <w:sz w:val="22"/>
          <w:szCs w:val="22"/>
        </w:rPr>
        <w:t xml:space="preserve">, sin que </w:t>
      </w:r>
      <w:r w:rsidR="00D66E29">
        <w:rPr>
          <w:rFonts w:ascii="Tahoma" w:hAnsi="Tahoma" w:cs="Tahoma"/>
          <w:sz w:val="22"/>
          <w:szCs w:val="22"/>
        </w:rPr>
        <w:t xml:space="preserve">resulte </w:t>
      </w:r>
      <w:r w:rsidR="00043CFB">
        <w:rPr>
          <w:rFonts w:ascii="Tahoma" w:hAnsi="Tahoma" w:cs="Tahoma"/>
          <w:sz w:val="22"/>
          <w:szCs w:val="22"/>
        </w:rPr>
        <w:t xml:space="preserve">procedente </w:t>
      </w:r>
      <w:r w:rsidR="009E2C43">
        <w:rPr>
          <w:rFonts w:ascii="Tahoma" w:hAnsi="Tahoma" w:cs="Tahoma"/>
          <w:sz w:val="22"/>
          <w:szCs w:val="22"/>
        </w:rPr>
        <w:t>dar curso a ningún tipo de destinación aduanera</w:t>
      </w:r>
      <w:r w:rsidR="002670CB">
        <w:rPr>
          <w:rFonts w:ascii="Tahoma" w:hAnsi="Tahoma" w:cs="Tahoma"/>
          <w:sz w:val="22"/>
          <w:szCs w:val="22"/>
        </w:rPr>
        <w:t>.</w:t>
      </w:r>
      <w:r w:rsidR="00D26446">
        <w:rPr>
          <w:rFonts w:ascii="Tahoma" w:hAnsi="Tahoma" w:cs="Tahoma"/>
          <w:sz w:val="22"/>
          <w:szCs w:val="22"/>
        </w:rPr>
        <w:t xml:space="preserve"> </w:t>
      </w:r>
    </w:p>
    <w:p w:rsidR="0074395A" w:rsidRDefault="0074395A" w:rsidP="00775C00">
      <w:pPr>
        <w:jc w:val="both"/>
        <w:outlineLvl w:val="0"/>
        <w:rPr>
          <w:rFonts w:ascii="Tahoma" w:hAnsi="Tahoma" w:cs="Tahoma"/>
          <w:sz w:val="22"/>
          <w:szCs w:val="22"/>
        </w:rPr>
      </w:pPr>
    </w:p>
    <w:p w:rsidR="00D44E3F" w:rsidRPr="00611411" w:rsidRDefault="00043CFB" w:rsidP="000D40DF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Que, e</w:t>
      </w:r>
      <w:r w:rsidR="0074395A">
        <w:rPr>
          <w:rFonts w:ascii="Tahoma" w:hAnsi="Tahoma" w:cs="Tahoma"/>
          <w:sz w:val="22"/>
          <w:szCs w:val="22"/>
        </w:rPr>
        <w:t>n consecuencia, corresponderá modificar el numeral 15.3, del Capítulo III, del Compendio de Normas Aduaneras</w:t>
      </w:r>
      <w:r w:rsidR="00810CC5">
        <w:rPr>
          <w:rFonts w:ascii="Tahoma" w:hAnsi="Tahoma" w:cs="Tahoma"/>
          <w:sz w:val="22"/>
          <w:szCs w:val="22"/>
        </w:rPr>
        <w:t xml:space="preserve">, en el sentido </w:t>
      </w:r>
      <w:r w:rsidR="00D66E29">
        <w:rPr>
          <w:rFonts w:ascii="Tahoma" w:hAnsi="Tahoma" w:cs="Tahoma"/>
          <w:sz w:val="22"/>
          <w:szCs w:val="22"/>
        </w:rPr>
        <w:t xml:space="preserve">de </w:t>
      </w:r>
      <w:r w:rsidR="00810CC5">
        <w:rPr>
          <w:rFonts w:ascii="Tahoma" w:hAnsi="Tahoma" w:cs="Tahoma"/>
          <w:sz w:val="22"/>
          <w:szCs w:val="22"/>
        </w:rPr>
        <w:t>no conceder el régimen de almac</w:t>
      </w:r>
      <w:r w:rsidR="009E2C43">
        <w:rPr>
          <w:rFonts w:ascii="Tahoma" w:hAnsi="Tahoma" w:cs="Tahoma"/>
          <w:sz w:val="22"/>
          <w:szCs w:val="22"/>
        </w:rPr>
        <w:t>é</w:t>
      </w:r>
      <w:r w:rsidR="00810CC5">
        <w:rPr>
          <w:rFonts w:ascii="Tahoma" w:hAnsi="Tahoma" w:cs="Tahoma"/>
          <w:sz w:val="22"/>
          <w:szCs w:val="22"/>
        </w:rPr>
        <w:t>n particular, respecto de las mercancías que se individualizarán</w:t>
      </w:r>
      <w:r w:rsidR="00D66E29">
        <w:rPr>
          <w:rFonts w:ascii="Tahoma" w:hAnsi="Tahoma" w:cs="Tahoma"/>
          <w:sz w:val="22"/>
          <w:szCs w:val="22"/>
        </w:rPr>
        <w:t xml:space="preserve">, teniendo como principal objetivo la protección de la ciudadanía y </w:t>
      </w:r>
      <w:r w:rsidR="003808D7">
        <w:rPr>
          <w:rFonts w:ascii="Tahoma" w:hAnsi="Tahoma" w:cs="Tahoma"/>
          <w:sz w:val="22"/>
          <w:szCs w:val="22"/>
        </w:rPr>
        <w:t>el resguardo de sus derechos</w:t>
      </w:r>
      <w:r w:rsidR="00BB1E87" w:rsidRPr="00611411">
        <w:rPr>
          <w:rFonts w:ascii="Tahoma" w:hAnsi="Tahoma" w:cs="Tahoma"/>
          <w:sz w:val="22"/>
          <w:szCs w:val="22"/>
        </w:rPr>
        <w:t>; y,</w:t>
      </w:r>
      <w:r w:rsidR="00D44E3F" w:rsidRPr="00611411">
        <w:rPr>
          <w:rFonts w:ascii="Tahoma" w:hAnsi="Tahoma" w:cs="Tahoma"/>
          <w:sz w:val="22"/>
          <w:szCs w:val="22"/>
        </w:rPr>
        <w:t xml:space="preserve"> </w:t>
      </w:r>
    </w:p>
    <w:p w:rsidR="00BB1E87" w:rsidRPr="00611411" w:rsidRDefault="00BB1E87" w:rsidP="00BB1E87">
      <w:pPr>
        <w:jc w:val="both"/>
        <w:outlineLvl w:val="0"/>
        <w:rPr>
          <w:rFonts w:ascii="Tahoma" w:hAnsi="Tahoma" w:cs="Tahoma"/>
          <w:sz w:val="22"/>
          <w:szCs w:val="22"/>
        </w:rPr>
      </w:pPr>
    </w:p>
    <w:p w:rsidR="000B37A3" w:rsidRPr="00A61479" w:rsidRDefault="000B37A3" w:rsidP="000B37A3">
      <w:pPr>
        <w:ind w:left="142"/>
        <w:jc w:val="both"/>
        <w:outlineLvl w:val="0"/>
        <w:rPr>
          <w:rFonts w:ascii="Tahoma" w:hAnsi="Tahoma" w:cs="Tahoma"/>
          <w:bCs/>
          <w:sz w:val="22"/>
          <w:szCs w:val="22"/>
        </w:rPr>
      </w:pPr>
      <w:r w:rsidRPr="00611411">
        <w:rPr>
          <w:rFonts w:ascii="Tahoma" w:hAnsi="Tahoma" w:cs="Tahoma"/>
          <w:b/>
          <w:sz w:val="22"/>
          <w:szCs w:val="22"/>
        </w:rPr>
        <w:t>TENIENDO PRESENTE</w:t>
      </w:r>
      <w:r w:rsidR="00A61479">
        <w:rPr>
          <w:rFonts w:ascii="Tahoma" w:hAnsi="Tahoma" w:cs="Tahoma"/>
          <w:b/>
          <w:sz w:val="22"/>
          <w:szCs w:val="22"/>
        </w:rPr>
        <w:t xml:space="preserve"> </w:t>
      </w:r>
      <w:r w:rsidR="00A61479" w:rsidRPr="00A61479">
        <w:rPr>
          <w:rFonts w:ascii="Tahoma" w:hAnsi="Tahoma" w:cs="Tahoma"/>
          <w:bCs/>
          <w:sz w:val="22"/>
          <w:szCs w:val="22"/>
        </w:rPr>
        <w:t>Las facultades que me otorgan los números 7, 8 y 29 del artículo 4° del DFL N° 329, de 1979, del Ministerio de Hacienda, Ley Orgánica del Servicio Nacional de Aduanas; y la Resolución N° 7 de 2019, de la Contraloría General de la República, sobre exención del trámite de toma de razón, dicto la siguiente:</w:t>
      </w:r>
    </w:p>
    <w:p w:rsidR="00A61479" w:rsidRDefault="00A61479" w:rsidP="000B37A3">
      <w:pPr>
        <w:ind w:left="142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DB1E7B" w:rsidRDefault="000B37A3" w:rsidP="00A61479">
      <w:pPr>
        <w:ind w:left="142"/>
        <w:jc w:val="both"/>
        <w:outlineLvl w:val="0"/>
      </w:pPr>
      <w:r w:rsidRPr="00611411">
        <w:rPr>
          <w:rFonts w:ascii="Tahoma" w:hAnsi="Tahoma" w:cs="Tahoma"/>
          <w:b/>
          <w:sz w:val="22"/>
          <w:szCs w:val="22"/>
        </w:rPr>
        <w:t>RESOLUCIÓN:</w:t>
      </w:r>
      <w:r w:rsidR="00A61479" w:rsidRPr="00A61479">
        <w:t xml:space="preserve"> </w:t>
      </w:r>
    </w:p>
    <w:p w:rsidR="00DB1E7B" w:rsidRDefault="00DB1E7B" w:rsidP="00A61479">
      <w:pPr>
        <w:ind w:left="142"/>
        <w:jc w:val="both"/>
        <w:outlineLvl w:val="0"/>
      </w:pPr>
    </w:p>
    <w:p w:rsidR="007C2F17" w:rsidRPr="007C2F17" w:rsidRDefault="007C2F17" w:rsidP="002E12AF">
      <w:pPr>
        <w:pStyle w:val="Prrafodelista"/>
        <w:numPr>
          <w:ilvl w:val="0"/>
          <w:numId w:val="2"/>
        </w:numPr>
        <w:tabs>
          <w:tab w:val="left" w:pos="4112"/>
        </w:tabs>
        <w:spacing w:after="120" w:line="300" w:lineRule="exact"/>
        <w:jc w:val="both"/>
        <w:rPr>
          <w:rFonts w:ascii="Tahoma" w:hAnsi="Tahoma" w:cs="Tahoma"/>
          <w:sz w:val="22"/>
          <w:szCs w:val="22"/>
        </w:rPr>
      </w:pPr>
      <w:r w:rsidRPr="007C2F17">
        <w:rPr>
          <w:rFonts w:ascii="Tahoma" w:hAnsi="Tahoma" w:cs="Tahoma"/>
          <w:b/>
          <w:sz w:val="22"/>
          <w:szCs w:val="22"/>
        </w:rPr>
        <w:t>MODIFÍCASE</w:t>
      </w:r>
      <w:r w:rsidRPr="007C2F17">
        <w:rPr>
          <w:rFonts w:ascii="Tahoma" w:hAnsi="Tahoma" w:cs="Tahoma"/>
          <w:sz w:val="22"/>
          <w:szCs w:val="22"/>
        </w:rPr>
        <w:t xml:space="preserve"> el Capítulo III, numeral 15 -sobre Almacén Particular-, del Compendio de Normas Aduaneras, en el sentido siguiente: </w:t>
      </w:r>
    </w:p>
    <w:p w:rsidR="007C2F17" w:rsidRPr="007C2F17" w:rsidRDefault="007C2F17" w:rsidP="007C2F17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7C2F17" w:rsidRPr="007C2F17" w:rsidRDefault="007C2F17" w:rsidP="007C2F17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 w:rsidRPr="007C2F17">
        <w:rPr>
          <w:rFonts w:ascii="Tahoma" w:hAnsi="Tahoma" w:cs="Tahoma"/>
          <w:b/>
          <w:sz w:val="22"/>
          <w:szCs w:val="22"/>
        </w:rPr>
        <w:t>AGRÉGASE</w:t>
      </w:r>
      <w:r w:rsidRPr="007C2F17">
        <w:rPr>
          <w:rFonts w:ascii="Tahoma" w:hAnsi="Tahoma" w:cs="Tahoma"/>
          <w:sz w:val="22"/>
          <w:szCs w:val="22"/>
        </w:rPr>
        <w:t xml:space="preserve"> en el numeral 15.3, la siguiente letra e) nueva:</w:t>
      </w:r>
    </w:p>
    <w:p w:rsidR="007C2F17" w:rsidRPr="007C2F17" w:rsidRDefault="007C2F17" w:rsidP="007C2F17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7C2F17" w:rsidRPr="007C2F17" w:rsidRDefault="007C2F17" w:rsidP="007C2F17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  <w:r w:rsidRPr="007C2F17">
        <w:rPr>
          <w:rFonts w:ascii="Tahoma" w:hAnsi="Tahoma" w:cs="Tahoma"/>
          <w:sz w:val="22"/>
          <w:szCs w:val="22"/>
        </w:rPr>
        <w:t>e) Se trate de mercancías que correspondan a las partidas arancelarias 93.01, 93.02, 93.03, 93.04 (salvo el ítem 9304.0010), 9305 (salvo el ítem 9305.9910)</w:t>
      </w:r>
      <w:r w:rsidR="00EE632C">
        <w:rPr>
          <w:rFonts w:ascii="Tahoma" w:hAnsi="Tahoma" w:cs="Tahoma"/>
          <w:sz w:val="22"/>
          <w:szCs w:val="22"/>
        </w:rPr>
        <w:t xml:space="preserve"> y</w:t>
      </w:r>
      <w:r w:rsidRPr="007C2F17">
        <w:rPr>
          <w:rFonts w:ascii="Tahoma" w:hAnsi="Tahoma" w:cs="Tahoma"/>
          <w:sz w:val="22"/>
          <w:szCs w:val="22"/>
        </w:rPr>
        <w:t xml:space="preserve"> 9306 (salvo el ítem 9306.2910) del Arancel Aduanero Nacional. </w:t>
      </w:r>
      <w:r w:rsidR="000E6343">
        <w:rPr>
          <w:rFonts w:ascii="Tahoma" w:hAnsi="Tahoma" w:cs="Tahoma"/>
          <w:sz w:val="22"/>
          <w:szCs w:val="22"/>
        </w:rPr>
        <w:t xml:space="preserve">Excepcionalmente, </w:t>
      </w:r>
      <w:r w:rsidRPr="007C2F17">
        <w:rPr>
          <w:rFonts w:ascii="Tahoma" w:hAnsi="Tahoma" w:cs="Tahoma"/>
          <w:sz w:val="22"/>
          <w:szCs w:val="22"/>
        </w:rPr>
        <w:t>el Director Nacional de Aduanas autoriza</w:t>
      </w:r>
      <w:r w:rsidR="00D10BA3">
        <w:rPr>
          <w:rFonts w:ascii="Tahoma" w:hAnsi="Tahoma" w:cs="Tahoma"/>
          <w:sz w:val="22"/>
          <w:szCs w:val="22"/>
        </w:rPr>
        <w:t>r</w:t>
      </w:r>
      <w:r w:rsidR="000E6343">
        <w:rPr>
          <w:rFonts w:ascii="Tahoma" w:hAnsi="Tahoma" w:cs="Tahoma"/>
          <w:sz w:val="22"/>
          <w:szCs w:val="22"/>
        </w:rPr>
        <w:t>á</w:t>
      </w:r>
      <w:r w:rsidRPr="007C2F17">
        <w:rPr>
          <w:rFonts w:ascii="Tahoma" w:hAnsi="Tahoma" w:cs="Tahoma"/>
          <w:sz w:val="22"/>
          <w:szCs w:val="22"/>
        </w:rPr>
        <w:t xml:space="preserve"> el almacén particular respecto de mercancías a que se refiere la presente letra, a condición que el consignatario o importador sea </w:t>
      </w:r>
      <w:r w:rsidR="000E6343">
        <w:rPr>
          <w:rFonts w:ascii="Tahoma" w:hAnsi="Tahoma" w:cs="Tahoma"/>
          <w:sz w:val="22"/>
          <w:szCs w:val="22"/>
        </w:rPr>
        <w:t xml:space="preserve">alguno de aquellos organismos a que hace referencia la Partida 00.01, de la Sección 0, del Arancel Aduanero </w:t>
      </w:r>
      <w:proofErr w:type="gramStart"/>
      <w:r w:rsidR="000E6343">
        <w:rPr>
          <w:rFonts w:ascii="Tahoma" w:hAnsi="Tahoma" w:cs="Tahoma"/>
          <w:sz w:val="22"/>
          <w:szCs w:val="22"/>
        </w:rPr>
        <w:t>Nacional</w:t>
      </w:r>
      <w:r w:rsidR="008E62C3">
        <w:rPr>
          <w:rFonts w:ascii="Tahoma" w:hAnsi="Tahoma" w:cs="Tahoma"/>
          <w:sz w:val="22"/>
          <w:szCs w:val="22"/>
        </w:rPr>
        <w:t>,  caso</w:t>
      </w:r>
      <w:proofErr w:type="gramEnd"/>
      <w:r w:rsidR="008E62C3">
        <w:rPr>
          <w:rFonts w:ascii="Tahoma" w:hAnsi="Tahoma" w:cs="Tahoma"/>
          <w:sz w:val="22"/>
          <w:szCs w:val="22"/>
        </w:rPr>
        <w:t xml:space="preserve"> en el cual  dichas mercancías</w:t>
      </w:r>
      <w:r w:rsidR="00EE632C">
        <w:rPr>
          <w:rFonts w:ascii="Tahoma" w:hAnsi="Tahoma" w:cs="Tahoma"/>
          <w:sz w:val="22"/>
          <w:szCs w:val="22"/>
        </w:rPr>
        <w:t xml:space="preserve"> </w:t>
      </w:r>
      <w:r w:rsidRPr="007C2F17">
        <w:rPr>
          <w:rFonts w:ascii="Tahoma" w:hAnsi="Tahoma" w:cs="Tahoma"/>
          <w:sz w:val="22"/>
          <w:szCs w:val="22"/>
        </w:rPr>
        <w:t>se</w:t>
      </w:r>
      <w:r w:rsidR="008E62C3">
        <w:rPr>
          <w:rFonts w:ascii="Tahoma" w:hAnsi="Tahoma" w:cs="Tahoma"/>
          <w:sz w:val="22"/>
          <w:szCs w:val="22"/>
        </w:rPr>
        <w:t>rán</w:t>
      </w:r>
      <w:r w:rsidRPr="007C2F17">
        <w:rPr>
          <w:rFonts w:ascii="Tahoma" w:hAnsi="Tahoma" w:cs="Tahoma"/>
          <w:sz w:val="22"/>
          <w:szCs w:val="22"/>
        </w:rPr>
        <w:t xml:space="preserve"> depositadas en sus recintos y bajo su jurisdicción y estricto control.</w:t>
      </w:r>
    </w:p>
    <w:p w:rsidR="007C2F17" w:rsidRPr="007C2F17" w:rsidRDefault="007C2F17" w:rsidP="007C2F17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A61479" w:rsidRPr="009D3A95" w:rsidRDefault="00A61479" w:rsidP="00A61479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2E12AF" w:rsidRDefault="002E12AF" w:rsidP="002E12AF">
      <w:pPr>
        <w:pStyle w:val="Prrafodelista"/>
        <w:numPr>
          <w:ilvl w:val="0"/>
          <w:numId w:val="2"/>
        </w:numPr>
        <w:tabs>
          <w:tab w:val="left" w:pos="4112"/>
        </w:tabs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  <w:r>
        <w:rPr>
          <w:rFonts w:ascii="Tahoma" w:eastAsia="MS Mincho" w:hAnsi="Tahoma" w:cs="Tahoma"/>
          <w:sz w:val="22"/>
          <w:szCs w:val="22"/>
          <w:lang w:val="es-ES" w:eastAsia="ja-JP"/>
        </w:rPr>
        <w:t>Como consecuencia de la modificación anterior, sustitúyanse las hojas pertinentes del Compendio de Normas Aduaneras.</w:t>
      </w:r>
    </w:p>
    <w:p w:rsidR="002E12AF" w:rsidRDefault="002E12AF" w:rsidP="002E12AF">
      <w:pPr>
        <w:tabs>
          <w:tab w:val="left" w:pos="4112"/>
        </w:tabs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</w:p>
    <w:p w:rsidR="002E12AF" w:rsidRDefault="002E12AF" w:rsidP="002E12AF">
      <w:pPr>
        <w:pStyle w:val="Prrafodelista"/>
        <w:numPr>
          <w:ilvl w:val="0"/>
          <w:numId w:val="2"/>
        </w:numPr>
        <w:tabs>
          <w:tab w:val="left" w:pos="4112"/>
        </w:tabs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  <w:r>
        <w:rPr>
          <w:rFonts w:ascii="Tahoma" w:eastAsia="MS Mincho" w:hAnsi="Tahoma" w:cs="Tahoma"/>
          <w:sz w:val="22"/>
          <w:szCs w:val="22"/>
          <w:lang w:val="es-ES" w:eastAsia="ja-JP"/>
        </w:rPr>
        <w:t xml:space="preserve">Lo </w:t>
      </w:r>
      <w:proofErr w:type="spellStart"/>
      <w:r w:rsidR="003B36F4">
        <w:rPr>
          <w:rFonts w:ascii="Tahoma" w:eastAsia="MS Mincho" w:hAnsi="Tahoma" w:cs="Tahoma"/>
          <w:sz w:val="22"/>
          <w:szCs w:val="22"/>
          <w:lang w:val="es-ES" w:eastAsia="ja-JP"/>
        </w:rPr>
        <w:t>instruído</w:t>
      </w:r>
      <w:proofErr w:type="spellEnd"/>
      <w:r>
        <w:rPr>
          <w:rFonts w:ascii="Tahoma" w:eastAsia="MS Mincho" w:hAnsi="Tahoma" w:cs="Tahoma"/>
          <w:sz w:val="22"/>
          <w:szCs w:val="22"/>
          <w:lang w:val="es-ES" w:eastAsia="ja-JP"/>
        </w:rPr>
        <w:t xml:space="preserve"> en la presente resolución, entrará en vigencia a partir de su publicación en extracto en el Diario Oficial.</w:t>
      </w:r>
    </w:p>
    <w:p w:rsidR="002E12AF" w:rsidRPr="002E12AF" w:rsidRDefault="002E12AF" w:rsidP="002E12AF">
      <w:pPr>
        <w:pStyle w:val="Prrafodelista"/>
        <w:rPr>
          <w:rFonts w:ascii="Tahoma" w:eastAsia="MS Mincho" w:hAnsi="Tahoma" w:cs="Tahoma"/>
          <w:sz w:val="22"/>
          <w:szCs w:val="22"/>
          <w:lang w:val="es-ES" w:eastAsia="ja-JP"/>
        </w:rPr>
      </w:pPr>
    </w:p>
    <w:p w:rsidR="002E12AF" w:rsidRDefault="002E12AF" w:rsidP="002E12AF">
      <w:pPr>
        <w:pStyle w:val="Prrafodelista"/>
        <w:tabs>
          <w:tab w:val="left" w:pos="4112"/>
        </w:tabs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  <w:r>
        <w:rPr>
          <w:rFonts w:ascii="Tahoma" w:eastAsia="MS Mincho" w:hAnsi="Tahoma" w:cs="Tahoma"/>
          <w:sz w:val="22"/>
          <w:szCs w:val="22"/>
          <w:lang w:val="es-ES" w:eastAsia="ja-JP"/>
        </w:rPr>
        <w:t>Las Declaraci</w:t>
      </w:r>
      <w:r w:rsidR="003B36F4">
        <w:rPr>
          <w:rFonts w:ascii="Tahoma" w:eastAsia="MS Mincho" w:hAnsi="Tahoma" w:cs="Tahoma"/>
          <w:sz w:val="22"/>
          <w:szCs w:val="22"/>
          <w:lang w:val="es-ES" w:eastAsia="ja-JP"/>
        </w:rPr>
        <w:t>ones</w:t>
      </w:r>
      <w:r w:rsidR="00BC65F5">
        <w:rPr>
          <w:rFonts w:ascii="Tahoma" w:eastAsia="MS Mincho" w:hAnsi="Tahoma" w:cs="Tahoma"/>
          <w:sz w:val="22"/>
          <w:szCs w:val="22"/>
          <w:lang w:val="es-ES" w:eastAsia="ja-JP"/>
        </w:rPr>
        <w:t xml:space="preserve"> </w:t>
      </w:r>
      <w:r>
        <w:rPr>
          <w:rFonts w:ascii="Tahoma" w:eastAsia="MS Mincho" w:hAnsi="Tahoma" w:cs="Tahoma"/>
          <w:sz w:val="22"/>
          <w:szCs w:val="22"/>
          <w:lang w:val="es-ES" w:eastAsia="ja-JP"/>
        </w:rPr>
        <w:t>de Almacén Particular legalizadas hasta la fecha de inicio de vigencia de la presente resolución</w:t>
      </w:r>
      <w:r w:rsidR="003B36F4">
        <w:rPr>
          <w:rFonts w:ascii="Tahoma" w:eastAsia="MS Mincho" w:hAnsi="Tahoma" w:cs="Tahoma"/>
          <w:sz w:val="22"/>
          <w:szCs w:val="22"/>
          <w:lang w:val="es-ES" w:eastAsia="ja-JP"/>
        </w:rPr>
        <w:t>,</w:t>
      </w:r>
      <w:r>
        <w:rPr>
          <w:rFonts w:ascii="Tahoma" w:eastAsia="MS Mincho" w:hAnsi="Tahoma" w:cs="Tahoma"/>
          <w:sz w:val="22"/>
          <w:szCs w:val="22"/>
          <w:lang w:val="es-ES" w:eastAsia="ja-JP"/>
        </w:rPr>
        <w:t xml:space="preserve"> se controlarán y cancelarán conforme a las disposiciones vigentes a la fecha de su legalización.</w:t>
      </w:r>
    </w:p>
    <w:p w:rsidR="004812E6" w:rsidRDefault="004812E6" w:rsidP="000D40DF">
      <w:pPr>
        <w:jc w:val="both"/>
        <w:outlineLvl w:val="0"/>
        <w:rPr>
          <w:rFonts w:ascii="Tahoma" w:hAnsi="Tahoma" w:cs="Tahoma"/>
          <w:b/>
          <w:bCs/>
        </w:rPr>
      </w:pPr>
    </w:p>
    <w:p w:rsidR="00A61479" w:rsidRPr="00A61479" w:rsidRDefault="00A61479" w:rsidP="00A61479">
      <w:pPr>
        <w:ind w:left="142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A61479" w:rsidRPr="00A61479" w:rsidRDefault="00A61479" w:rsidP="00A61479">
      <w:pPr>
        <w:ind w:left="142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A61479" w:rsidRPr="00A61479" w:rsidRDefault="00A61479" w:rsidP="00A61479">
      <w:pPr>
        <w:ind w:left="142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A61479">
        <w:rPr>
          <w:rFonts w:ascii="Tahoma" w:hAnsi="Tahoma" w:cs="Tahoma"/>
          <w:b/>
          <w:sz w:val="22"/>
          <w:szCs w:val="22"/>
        </w:rPr>
        <w:t xml:space="preserve">ANÓTESE, COMUNÍQUESE Y PUBLÍQUESE EN EXTRACTO EN EL DIARIO OFICIAL E </w:t>
      </w:r>
      <w:r w:rsidR="003B36F4">
        <w:rPr>
          <w:rFonts w:ascii="Tahoma" w:hAnsi="Tahoma" w:cs="Tahoma"/>
          <w:b/>
          <w:sz w:val="22"/>
          <w:szCs w:val="22"/>
        </w:rPr>
        <w:t>Í</w:t>
      </w:r>
      <w:r w:rsidRPr="00A61479">
        <w:rPr>
          <w:rFonts w:ascii="Tahoma" w:hAnsi="Tahoma" w:cs="Tahoma"/>
          <w:b/>
          <w:sz w:val="22"/>
          <w:szCs w:val="22"/>
        </w:rPr>
        <w:t>NTEGRAMENTE EN LA PÁGINA WEB DEL SERVICIO NACIONAL DE ADUANAS</w:t>
      </w:r>
    </w:p>
    <w:p w:rsidR="000B37A3" w:rsidRPr="00611411" w:rsidRDefault="000B37A3" w:rsidP="000B37A3">
      <w:pPr>
        <w:ind w:left="142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0B37A3" w:rsidRPr="00611411" w:rsidRDefault="000B37A3" w:rsidP="000B37A3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p w:rsidR="000B37A3" w:rsidRPr="00611411" w:rsidRDefault="000B37A3" w:rsidP="00924E67">
      <w:pPr>
        <w:ind w:left="142"/>
        <w:outlineLvl w:val="0"/>
        <w:rPr>
          <w:rFonts w:ascii="Tahoma" w:hAnsi="Tahoma" w:cs="Tahoma"/>
          <w:b/>
          <w:sz w:val="22"/>
          <w:szCs w:val="22"/>
        </w:rPr>
      </w:pPr>
    </w:p>
    <w:p w:rsidR="000B37A3" w:rsidRPr="00611411" w:rsidRDefault="000B37A3" w:rsidP="00924E67">
      <w:pPr>
        <w:ind w:left="142"/>
        <w:outlineLvl w:val="0"/>
        <w:rPr>
          <w:rFonts w:ascii="Tahoma" w:hAnsi="Tahoma" w:cs="Tahoma"/>
          <w:b/>
          <w:sz w:val="22"/>
          <w:szCs w:val="22"/>
        </w:rPr>
      </w:pPr>
    </w:p>
    <w:p w:rsidR="008B717C" w:rsidRPr="00611411" w:rsidRDefault="008B717C" w:rsidP="008930E2">
      <w:pPr>
        <w:tabs>
          <w:tab w:val="left" w:pos="4536"/>
        </w:tabs>
        <w:ind w:left="142"/>
        <w:jc w:val="both"/>
        <w:rPr>
          <w:rFonts w:ascii="Tahoma" w:hAnsi="Tahoma" w:cs="Tahoma"/>
          <w:sz w:val="22"/>
          <w:szCs w:val="22"/>
          <w:lang w:val="es-ES"/>
        </w:rPr>
      </w:pPr>
    </w:p>
    <w:p w:rsidR="000B37A3" w:rsidRPr="00611411" w:rsidRDefault="000B37A3" w:rsidP="008930E2">
      <w:pPr>
        <w:tabs>
          <w:tab w:val="left" w:pos="4536"/>
        </w:tabs>
        <w:ind w:left="142"/>
        <w:jc w:val="both"/>
        <w:rPr>
          <w:rFonts w:ascii="Tahoma" w:hAnsi="Tahoma" w:cs="Tahoma"/>
          <w:sz w:val="22"/>
          <w:szCs w:val="22"/>
          <w:lang w:val="es-ES"/>
        </w:rPr>
      </w:pPr>
    </w:p>
    <w:p w:rsidR="000B37A3" w:rsidRPr="00611411" w:rsidRDefault="000B37A3" w:rsidP="008930E2">
      <w:pPr>
        <w:tabs>
          <w:tab w:val="left" w:pos="4536"/>
        </w:tabs>
        <w:ind w:left="142"/>
        <w:jc w:val="both"/>
        <w:rPr>
          <w:rFonts w:ascii="Tahoma" w:hAnsi="Tahoma" w:cs="Tahoma"/>
          <w:sz w:val="22"/>
          <w:szCs w:val="22"/>
          <w:lang w:val="es-ES"/>
        </w:rPr>
      </w:pPr>
    </w:p>
    <w:p w:rsidR="00EF6D1B" w:rsidRPr="00611411" w:rsidRDefault="00EF6D1B" w:rsidP="00D32048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ahoma" w:eastAsia="Times New Roman" w:hAnsi="Tahoma" w:cs="Tahoma"/>
          <w:sz w:val="22"/>
          <w:szCs w:val="22"/>
          <w:lang w:val="es-CL"/>
        </w:rPr>
      </w:pPr>
      <w:bookmarkStart w:id="0" w:name="QuickMark"/>
      <w:bookmarkEnd w:id="0"/>
    </w:p>
    <w:p w:rsidR="009718ED" w:rsidRPr="00611411" w:rsidRDefault="00546717" w:rsidP="00EF6D1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42"/>
        <w:jc w:val="both"/>
        <w:rPr>
          <w:rFonts w:ascii="Tahoma" w:eastAsia="Times New Roman" w:hAnsi="Tahoma" w:cs="Tahoma"/>
          <w:sz w:val="22"/>
          <w:szCs w:val="22"/>
          <w:lang w:val="es-CL"/>
        </w:rPr>
      </w:pPr>
      <w:r>
        <w:rPr>
          <w:rFonts w:ascii="Tahoma" w:eastAsia="Times New Roman" w:hAnsi="Tahoma" w:cs="Tahoma"/>
          <w:sz w:val="22"/>
          <w:szCs w:val="22"/>
          <w:lang w:val="es-CL"/>
        </w:rPr>
        <w:t>GLH/AKO/JAK/KCI/</w:t>
      </w:r>
      <w:r w:rsidR="00B3389C">
        <w:rPr>
          <w:rFonts w:ascii="Tahoma" w:eastAsia="Times New Roman" w:hAnsi="Tahoma" w:cs="Tahoma"/>
          <w:sz w:val="22"/>
          <w:szCs w:val="22"/>
          <w:lang w:val="es-CL"/>
        </w:rPr>
        <w:t>KQN</w:t>
      </w:r>
      <w:r w:rsidR="007A25BE" w:rsidRPr="00611411">
        <w:rPr>
          <w:rFonts w:ascii="Tahoma" w:eastAsia="Times New Roman" w:hAnsi="Tahoma" w:cs="Tahoma"/>
          <w:sz w:val="22"/>
          <w:szCs w:val="22"/>
          <w:lang w:val="es-CL"/>
        </w:rPr>
        <w:t>/CNA</w:t>
      </w:r>
    </w:p>
    <w:p w:rsidR="00AF2C4C" w:rsidRPr="00611411" w:rsidRDefault="00AF2C4C" w:rsidP="008930E2">
      <w:pPr>
        <w:ind w:left="142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AF2C4C" w:rsidRPr="00611411" w:rsidSect="00AF278A">
      <w:headerReference w:type="default" r:id="rId7"/>
      <w:footerReference w:type="default" r:id="rId8"/>
      <w:pgSz w:w="12240" w:h="18720"/>
      <w:pgMar w:top="1820" w:right="1467" w:bottom="1843" w:left="1559" w:header="27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B0" w:rsidRDefault="000149B0" w:rsidP="009C340E">
      <w:r>
        <w:separator/>
      </w:r>
    </w:p>
  </w:endnote>
  <w:endnote w:type="continuationSeparator" w:id="0">
    <w:p w:rsidR="000149B0" w:rsidRDefault="000149B0" w:rsidP="009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bC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40E" w:rsidRDefault="00994587" w:rsidP="00287A9E">
    <w:pPr>
      <w:pStyle w:val="Piedepgina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1B6B7E" wp14:editId="4CF7772C">
              <wp:simplePos x="0" y="0"/>
              <wp:positionH relativeFrom="column">
                <wp:posOffset>-712173</wp:posOffset>
              </wp:positionH>
              <wp:positionV relativeFrom="paragraph">
                <wp:posOffset>-530225</wp:posOffset>
              </wp:positionV>
              <wp:extent cx="7124049" cy="686966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049" cy="686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68B4" w:rsidRDefault="00CC68B4" w:rsidP="00CC68B4">
                          <w:pPr>
                            <w:spacing w:line="180" w:lineRule="exact"/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 xml:space="preserve">Sotomayor </w:t>
                          </w:r>
                          <w:r w:rsidR="00CC4607"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>N° 60</w:t>
                          </w:r>
                          <w:r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 xml:space="preserve"> </w:t>
                          </w:r>
                        </w:p>
                        <w:p w:rsidR="00CC68B4" w:rsidRPr="0019094B" w:rsidRDefault="00CC68B4" w:rsidP="00CC68B4">
                          <w:pPr>
                            <w:spacing w:line="180" w:lineRule="exact"/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>Valparaíso</w:t>
                          </w:r>
                        </w:p>
                        <w:p w:rsidR="00CC68B4" w:rsidRPr="003673F5" w:rsidRDefault="00CC68B4" w:rsidP="00CC68B4">
                          <w:pPr>
                            <w:spacing w:line="180" w:lineRule="exact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19094B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 xml:space="preserve">+56 </w:t>
                          </w: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322134516</w:t>
                          </w:r>
                          <w:r w:rsidRPr="00D40B72">
                            <w:rPr>
                              <w:rFonts w:ascii="Tahoma" w:hAnsi="Tahoma" w:cs="Tahoma"/>
                              <w:color w:val="262626" w:themeColor="text1" w:themeTint="D9"/>
                              <w:sz w:val="15"/>
                              <w:szCs w:val="15"/>
                              <w:lang w:val="es-ES"/>
                            </w:rPr>
                            <w:br/>
                            <w:t>www.aduana.cl</w:t>
                          </w:r>
                        </w:p>
                        <w:p w:rsidR="00CC68B4" w:rsidRPr="003673F5" w:rsidRDefault="00CC68B4" w:rsidP="00CC68B4">
                          <w:pPr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  <w:p w:rsidR="00FB7100" w:rsidRPr="000727D8" w:rsidRDefault="00FB7100" w:rsidP="00287A9E">
                          <w:pPr>
                            <w:ind w:left="1134" w:right="-7229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B6B7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left:0;text-align:left;margin-left:-56.1pt;margin-top:-41.75pt;width:560.95pt;height: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" filled="f" stroked="f">
              <v:textbox>
                <w:txbxContent>
                  <w:p w:rsidR="00CC68B4" w:rsidRDefault="00CC68B4" w:rsidP="00CC68B4">
                    <w:pPr>
                      <w:spacing w:line="180" w:lineRule="exact"/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</w:pPr>
                    <w:r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 xml:space="preserve">Sotomayor </w:t>
                    </w:r>
                    <w:r w:rsidR="00CC4607"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>N° 60</w:t>
                    </w:r>
                    <w:r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 xml:space="preserve"> </w:t>
                    </w:r>
                  </w:p>
                  <w:p w:rsidR="00CC68B4" w:rsidRPr="0019094B" w:rsidRDefault="00CC68B4" w:rsidP="00CC68B4">
                    <w:pPr>
                      <w:spacing w:line="180" w:lineRule="exact"/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</w:pPr>
                    <w:r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>Valparaíso</w:t>
                    </w:r>
                  </w:p>
                  <w:p w:rsidR="00CC68B4" w:rsidRPr="003673F5" w:rsidRDefault="00CC68B4" w:rsidP="00CC68B4">
                    <w:pPr>
                      <w:spacing w:line="180" w:lineRule="exact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 w:rsidRPr="0019094B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 xml:space="preserve">+56 </w:t>
                    </w: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322134516</w:t>
                    </w:r>
                    <w:r w:rsidRPr="00D40B72">
                      <w:rPr>
                        <w:rFonts w:ascii="Tahoma" w:hAnsi="Tahoma" w:cs="Tahoma"/>
                        <w:color w:val="262626" w:themeColor="text1" w:themeTint="D9"/>
                        <w:sz w:val="15"/>
                        <w:szCs w:val="15"/>
                        <w:lang w:val="es-ES"/>
                      </w:rPr>
                      <w:br/>
                      <w:t>www.aduana.cl</w:t>
                    </w:r>
                  </w:p>
                  <w:p w:rsidR="00CC68B4" w:rsidRPr="003673F5" w:rsidRDefault="00CC68B4" w:rsidP="00CC68B4">
                    <w:pPr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  <w:p w:rsidR="00FB7100" w:rsidRPr="000727D8" w:rsidRDefault="00FB7100" w:rsidP="00287A9E">
                    <w:pPr>
                      <w:ind w:left="1134" w:right="-7229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5A4707">
      <w:rPr>
        <w:noProof/>
        <w:lang w:val="es-CL" w:eastAsia="es-CL"/>
      </w:rPr>
      <w:drawing>
        <wp:inline distT="0" distB="0" distL="0" distR="0" wp14:anchorId="4CA3A7E1" wp14:editId="3D6C34DC">
          <wp:extent cx="648000" cy="101878"/>
          <wp:effectExtent l="0" t="0" r="0" b="0"/>
          <wp:docPr id="6" name="Imagen 6" descr="../../../../Captura%20de%20pantalla%202017-07-27%20a%20las%203.31.32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../../../../Captura%20de%20pantalla%202017-07-27%20a%20las%203.31.32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101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B0" w:rsidRDefault="000149B0" w:rsidP="009C340E">
      <w:r>
        <w:separator/>
      </w:r>
    </w:p>
  </w:footnote>
  <w:footnote w:type="continuationSeparator" w:id="0">
    <w:p w:rsidR="000149B0" w:rsidRDefault="000149B0" w:rsidP="009C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73" w:rsidRDefault="005C0373" w:rsidP="00287A9E">
    <w:pPr>
      <w:pStyle w:val="Encabezado"/>
      <w:spacing w:line="120" w:lineRule="auto"/>
      <w:ind w:left="-993"/>
    </w:pPr>
    <w:r>
      <w:br/>
    </w:r>
  </w:p>
  <w:p w:rsidR="008A1F18" w:rsidRDefault="008A1F18" w:rsidP="00C57414">
    <w:pPr>
      <w:pStyle w:val="Encabezado"/>
      <w:spacing w:line="120" w:lineRule="auto"/>
      <w:ind w:left="-3260"/>
    </w:pPr>
  </w:p>
  <w:p w:rsidR="005C0373" w:rsidRDefault="00E637B1" w:rsidP="00287A9E">
    <w:pPr>
      <w:pStyle w:val="Encabezado"/>
      <w:spacing w:line="120" w:lineRule="auto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7E030" wp14:editId="0D304D89">
              <wp:simplePos x="0" y="0"/>
              <wp:positionH relativeFrom="column">
                <wp:posOffset>17032</wp:posOffset>
              </wp:positionH>
              <wp:positionV relativeFrom="paragraph">
                <wp:posOffset>227611</wp:posOffset>
              </wp:positionV>
              <wp:extent cx="6092938" cy="647700"/>
              <wp:effectExtent l="0" t="0" r="0" b="1270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68B4" w:rsidRDefault="00CC68B4" w:rsidP="00CC68B4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:rsidR="00CC68B4" w:rsidRPr="00DF42E3" w:rsidRDefault="00CC68B4" w:rsidP="00CC68B4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</w:p>
                        <w:p w:rsidR="00CC68B4" w:rsidRPr="00DF42E3" w:rsidRDefault="00CC68B4" w:rsidP="00CC68B4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:rsidR="0051688E" w:rsidRPr="00DF42E3" w:rsidRDefault="0051688E" w:rsidP="00AA7706">
                          <w:pPr>
                            <w:spacing w:line="180" w:lineRule="exact"/>
                            <w:ind w:left="-142" w:right="14"/>
                            <w:jc w:val="both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7E03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1.35pt;margin-top:17.9pt;width:47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" filled="f" stroked="f">
              <v:textbox>
                <w:txbxContent>
                  <w:p w:rsidR="00CC68B4" w:rsidRDefault="00CC68B4" w:rsidP="00CC68B4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:rsidR="00CC68B4" w:rsidRPr="00DF42E3" w:rsidRDefault="00CC68B4" w:rsidP="00CC68B4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</w:p>
                  <w:p w:rsidR="00CC68B4" w:rsidRPr="00DF42E3" w:rsidRDefault="00CC68B4" w:rsidP="00CC68B4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:rsidR="0051688E" w:rsidRPr="00DF42E3" w:rsidRDefault="0051688E" w:rsidP="00AA7706">
                    <w:pPr>
                      <w:spacing w:line="180" w:lineRule="exact"/>
                      <w:ind w:left="-142" w:right="14"/>
                      <w:jc w:val="both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ED2423">
      <w:rPr>
        <w:noProof/>
        <w:lang w:val="es-CL" w:eastAsia="es-CL"/>
      </w:rPr>
      <w:drawing>
        <wp:inline distT="0" distB="0" distL="0" distR="0" wp14:anchorId="111B27CF" wp14:editId="59D2FC07">
          <wp:extent cx="633563" cy="972000"/>
          <wp:effectExtent l="0" t="0" r="1905" b="0"/>
          <wp:docPr id="5" name="Imagen 5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6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14C"/>
    <w:multiLevelType w:val="hybridMultilevel"/>
    <w:tmpl w:val="9D66BD56"/>
    <w:lvl w:ilvl="0" w:tplc="9744ADA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1242"/>
    <w:multiLevelType w:val="multilevel"/>
    <w:tmpl w:val="E65E6A9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480" w:hanging="180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E"/>
    <w:rsid w:val="00002BE2"/>
    <w:rsid w:val="0000363C"/>
    <w:rsid w:val="00007007"/>
    <w:rsid w:val="000149B0"/>
    <w:rsid w:val="00015823"/>
    <w:rsid w:val="000167C5"/>
    <w:rsid w:val="00023D21"/>
    <w:rsid w:val="00042649"/>
    <w:rsid w:val="00042C0B"/>
    <w:rsid w:val="00043CFB"/>
    <w:rsid w:val="00047ACE"/>
    <w:rsid w:val="00052F83"/>
    <w:rsid w:val="00053EBE"/>
    <w:rsid w:val="00063D13"/>
    <w:rsid w:val="000727D8"/>
    <w:rsid w:val="00074610"/>
    <w:rsid w:val="000823B7"/>
    <w:rsid w:val="00084853"/>
    <w:rsid w:val="00086ED8"/>
    <w:rsid w:val="00087009"/>
    <w:rsid w:val="00096404"/>
    <w:rsid w:val="000B2CBD"/>
    <w:rsid w:val="000B37A3"/>
    <w:rsid w:val="000B47BB"/>
    <w:rsid w:val="000C049C"/>
    <w:rsid w:val="000C7BD6"/>
    <w:rsid w:val="000D3B4E"/>
    <w:rsid w:val="000D40DF"/>
    <w:rsid w:val="000E0A86"/>
    <w:rsid w:val="000E6343"/>
    <w:rsid w:val="000F35E7"/>
    <w:rsid w:val="00117840"/>
    <w:rsid w:val="00134F3E"/>
    <w:rsid w:val="00146675"/>
    <w:rsid w:val="0015395A"/>
    <w:rsid w:val="001620E5"/>
    <w:rsid w:val="00183FDE"/>
    <w:rsid w:val="00186BC5"/>
    <w:rsid w:val="0019094B"/>
    <w:rsid w:val="001B354E"/>
    <w:rsid w:val="001C2F7D"/>
    <w:rsid w:val="001C661A"/>
    <w:rsid w:val="001E0E73"/>
    <w:rsid w:val="001E3236"/>
    <w:rsid w:val="001F508A"/>
    <w:rsid w:val="00204079"/>
    <w:rsid w:val="00234D34"/>
    <w:rsid w:val="002351C0"/>
    <w:rsid w:val="002434A2"/>
    <w:rsid w:val="00245364"/>
    <w:rsid w:val="00263637"/>
    <w:rsid w:val="002643B4"/>
    <w:rsid w:val="002670CB"/>
    <w:rsid w:val="002841B0"/>
    <w:rsid w:val="00286AEB"/>
    <w:rsid w:val="00287A9E"/>
    <w:rsid w:val="00290C00"/>
    <w:rsid w:val="002B4A89"/>
    <w:rsid w:val="002C4935"/>
    <w:rsid w:val="002D3545"/>
    <w:rsid w:val="002E12AF"/>
    <w:rsid w:val="002E780B"/>
    <w:rsid w:val="00305938"/>
    <w:rsid w:val="00323ED4"/>
    <w:rsid w:val="003311DB"/>
    <w:rsid w:val="00341A2F"/>
    <w:rsid w:val="003441F3"/>
    <w:rsid w:val="00351086"/>
    <w:rsid w:val="00353459"/>
    <w:rsid w:val="00353625"/>
    <w:rsid w:val="00355812"/>
    <w:rsid w:val="00356FDA"/>
    <w:rsid w:val="003673F5"/>
    <w:rsid w:val="0038036B"/>
    <w:rsid w:val="003808D7"/>
    <w:rsid w:val="00391DF4"/>
    <w:rsid w:val="00395400"/>
    <w:rsid w:val="003A1DA5"/>
    <w:rsid w:val="003A23B9"/>
    <w:rsid w:val="003A4924"/>
    <w:rsid w:val="003B0C0C"/>
    <w:rsid w:val="003B36F4"/>
    <w:rsid w:val="003B5E7B"/>
    <w:rsid w:val="003D12EC"/>
    <w:rsid w:val="003E2832"/>
    <w:rsid w:val="003E2C1A"/>
    <w:rsid w:val="003E4899"/>
    <w:rsid w:val="003E6BDF"/>
    <w:rsid w:val="003F114E"/>
    <w:rsid w:val="004121AE"/>
    <w:rsid w:val="00412B0D"/>
    <w:rsid w:val="00414C3A"/>
    <w:rsid w:val="00421810"/>
    <w:rsid w:val="0043628C"/>
    <w:rsid w:val="0044529F"/>
    <w:rsid w:val="00465553"/>
    <w:rsid w:val="00475D64"/>
    <w:rsid w:val="004812E6"/>
    <w:rsid w:val="00482423"/>
    <w:rsid w:val="004831AA"/>
    <w:rsid w:val="00485870"/>
    <w:rsid w:val="00494D66"/>
    <w:rsid w:val="00495B22"/>
    <w:rsid w:val="004B2B6C"/>
    <w:rsid w:val="004C5E19"/>
    <w:rsid w:val="004D1CD8"/>
    <w:rsid w:val="004D27A3"/>
    <w:rsid w:val="004E5E3D"/>
    <w:rsid w:val="004E6CA2"/>
    <w:rsid w:val="00506D16"/>
    <w:rsid w:val="0051688E"/>
    <w:rsid w:val="00517F4D"/>
    <w:rsid w:val="00520237"/>
    <w:rsid w:val="00522BAC"/>
    <w:rsid w:val="00527BF2"/>
    <w:rsid w:val="00532592"/>
    <w:rsid w:val="00540297"/>
    <w:rsid w:val="00546717"/>
    <w:rsid w:val="00554CDF"/>
    <w:rsid w:val="00557CA9"/>
    <w:rsid w:val="005A4707"/>
    <w:rsid w:val="005A47BB"/>
    <w:rsid w:val="005A59DA"/>
    <w:rsid w:val="005B0150"/>
    <w:rsid w:val="005C0373"/>
    <w:rsid w:val="005C2DC3"/>
    <w:rsid w:val="005E371D"/>
    <w:rsid w:val="00611411"/>
    <w:rsid w:val="006130E9"/>
    <w:rsid w:val="0063533B"/>
    <w:rsid w:val="006413EF"/>
    <w:rsid w:val="00642EF8"/>
    <w:rsid w:val="00650BBE"/>
    <w:rsid w:val="006604BC"/>
    <w:rsid w:val="00664225"/>
    <w:rsid w:val="0067218B"/>
    <w:rsid w:val="00684164"/>
    <w:rsid w:val="006A1AD4"/>
    <w:rsid w:val="006A7BE4"/>
    <w:rsid w:val="006A7C90"/>
    <w:rsid w:val="006B3EE0"/>
    <w:rsid w:val="006C2E30"/>
    <w:rsid w:val="006C4591"/>
    <w:rsid w:val="006E58C5"/>
    <w:rsid w:val="006F679F"/>
    <w:rsid w:val="006F6FF0"/>
    <w:rsid w:val="006F7CCD"/>
    <w:rsid w:val="007031D5"/>
    <w:rsid w:val="00725BDD"/>
    <w:rsid w:val="007323CE"/>
    <w:rsid w:val="00734042"/>
    <w:rsid w:val="00737ABB"/>
    <w:rsid w:val="00740C46"/>
    <w:rsid w:val="0074395A"/>
    <w:rsid w:val="00775C00"/>
    <w:rsid w:val="0078174E"/>
    <w:rsid w:val="00793D3D"/>
    <w:rsid w:val="007A1EF9"/>
    <w:rsid w:val="007A25BE"/>
    <w:rsid w:val="007B01CD"/>
    <w:rsid w:val="007B4C77"/>
    <w:rsid w:val="007C09E6"/>
    <w:rsid w:val="007C2F17"/>
    <w:rsid w:val="007C335C"/>
    <w:rsid w:val="007C5765"/>
    <w:rsid w:val="007C603B"/>
    <w:rsid w:val="007D0D8A"/>
    <w:rsid w:val="007D1F0D"/>
    <w:rsid w:val="007D22C4"/>
    <w:rsid w:val="007F2335"/>
    <w:rsid w:val="007F7096"/>
    <w:rsid w:val="00810CC5"/>
    <w:rsid w:val="00810F84"/>
    <w:rsid w:val="00815AA4"/>
    <w:rsid w:val="008246BC"/>
    <w:rsid w:val="00834E53"/>
    <w:rsid w:val="0085061D"/>
    <w:rsid w:val="00851EEE"/>
    <w:rsid w:val="008547D1"/>
    <w:rsid w:val="00865790"/>
    <w:rsid w:val="00870080"/>
    <w:rsid w:val="00872065"/>
    <w:rsid w:val="00873B8C"/>
    <w:rsid w:val="00874133"/>
    <w:rsid w:val="00887C9C"/>
    <w:rsid w:val="008900F4"/>
    <w:rsid w:val="008930E2"/>
    <w:rsid w:val="008A1F18"/>
    <w:rsid w:val="008A3AE5"/>
    <w:rsid w:val="008B1164"/>
    <w:rsid w:val="008B3237"/>
    <w:rsid w:val="008B717C"/>
    <w:rsid w:val="008C04E1"/>
    <w:rsid w:val="008C3277"/>
    <w:rsid w:val="008C6A67"/>
    <w:rsid w:val="008D08AD"/>
    <w:rsid w:val="008D3A42"/>
    <w:rsid w:val="008D50AC"/>
    <w:rsid w:val="008D6C30"/>
    <w:rsid w:val="008E2A09"/>
    <w:rsid w:val="008E62C3"/>
    <w:rsid w:val="008F5AF2"/>
    <w:rsid w:val="00900E3D"/>
    <w:rsid w:val="009119D0"/>
    <w:rsid w:val="00924E67"/>
    <w:rsid w:val="00926D64"/>
    <w:rsid w:val="0095112E"/>
    <w:rsid w:val="0095738B"/>
    <w:rsid w:val="0096017D"/>
    <w:rsid w:val="0096217E"/>
    <w:rsid w:val="0096416E"/>
    <w:rsid w:val="00965B0F"/>
    <w:rsid w:val="009706FD"/>
    <w:rsid w:val="009718ED"/>
    <w:rsid w:val="00981ADC"/>
    <w:rsid w:val="0098297C"/>
    <w:rsid w:val="009848C3"/>
    <w:rsid w:val="00985384"/>
    <w:rsid w:val="009939DF"/>
    <w:rsid w:val="00994587"/>
    <w:rsid w:val="009952FB"/>
    <w:rsid w:val="009960FC"/>
    <w:rsid w:val="009A1680"/>
    <w:rsid w:val="009A1EE2"/>
    <w:rsid w:val="009A39F8"/>
    <w:rsid w:val="009B54F7"/>
    <w:rsid w:val="009B6364"/>
    <w:rsid w:val="009B663B"/>
    <w:rsid w:val="009C1287"/>
    <w:rsid w:val="009C340E"/>
    <w:rsid w:val="009D086F"/>
    <w:rsid w:val="009D08E4"/>
    <w:rsid w:val="009D3A95"/>
    <w:rsid w:val="009E1938"/>
    <w:rsid w:val="009E2C43"/>
    <w:rsid w:val="009F0C41"/>
    <w:rsid w:val="00A14543"/>
    <w:rsid w:val="00A30785"/>
    <w:rsid w:val="00A61479"/>
    <w:rsid w:val="00A66C9C"/>
    <w:rsid w:val="00A83DDE"/>
    <w:rsid w:val="00AA37B5"/>
    <w:rsid w:val="00AA4B65"/>
    <w:rsid w:val="00AA7706"/>
    <w:rsid w:val="00AB184F"/>
    <w:rsid w:val="00AB1F5A"/>
    <w:rsid w:val="00AB279E"/>
    <w:rsid w:val="00AB6FF8"/>
    <w:rsid w:val="00AC1C4A"/>
    <w:rsid w:val="00AC6E35"/>
    <w:rsid w:val="00AD1E08"/>
    <w:rsid w:val="00AE4D1F"/>
    <w:rsid w:val="00AF17EA"/>
    <w:rsid w:val="00AF278A"/>
    <w:rsid w:val="00AF2C4C"/>
    <w:rsid w:val="00AF5304"/>
    <w:rsid w:val="00B0297F"/>
    <w:rsid w:val="00B3389C"/>
    <w:rsid w:val="00B43DAD"/>
    <w:rsid w:val="00B514BB"/>
    <w:rsid w:val="00B537C2"/>
    <w:rsid w:val="00BA5CC5"/>
    <w:rsid w:val="00BB0B9E"/>
    <w:rsid w:val="00BB1E87"/>
    <w:rsid w:val="00BB5299"/>
    <w:rsid w:val="00BB7E3F"/>
    <w:rsid w:val="00BC05E7"/>
    <w:rsid w:val="00BC2D8D"/>
    <w:rsid w:val="00BC4353"/>
    <w:rsid w:val="00BC5266"/>
    <w:rsid w:val="00BC65F5"/>
    <w:rsid w:val="00BD383A"/>
    <w:rsid w:val="00BE053F"/>
    <w:rsid w:val="00BE0A2D"/>
    <w:rsid w:val="00BE0A96"/>
    <w:rsid w:val="00BF44E6"/>
    <w:rsid w:val="00BF5FFD"/>
    <w:rsid w:val="00BF7487"/>
    <w:rsid w:val="00BF7D69"/>
    <w:rsid w:val="00C32365"/>
    <w:rsid w:val="00C474A7"/>
    <w:rsid w:val="00C53CEA"/>
    <w:rsid w:val="00C57414"/>
    <w:rsid w:val="00C750FA"/>
    <w:rsid w:val="00C77BCD"/>
    <w:rsid w:val="00CB3124"/>
    <w:rsid w:val="00CB64E2"/>
    <w:rsid w:val="00CC04B1"/>
    <w:rsid w:val="00CC088E"/>
    <w:rsid w:val="00CC4607"/>
    <w:rsid w:val="00CC68B4"/>
    <w:rsid w:val="00CF68AF"/>
    <w:rsid w:val="00D0704B"/>
    <w:rsid w:val="00D10BA3"/>
    <w:rsid w:val="00D15398"/>
    <w:rsid w:val="00D16D6B"/>
    <w:rsid w:val="00D20544"/>
    <w:rsid w:val="00D26446"/>
    <w:rsid w:val="00D32048"/>
    <w:rsid w:val="00D40B72"/>
    <w:rsid w:val="00D42660"/>
    <w:rsid w:val="00D44E3F"/>
    <w:rsid w:val="00D50863"/>
    <w:rsid w:val="00D564A8"/>
    <w:rsid w:val="00D56932"/>
    <w:rsid w:val="00D65EFC"/>
    <w:rsid w:val="00D66E29"/>
    <w:rsid w:val="00D732B0"/>
    <w:rsid w:val="00D75B09"/>
    <w:rsid w:val="00D8473B"/>
    <w:rsid w:val="00DA0013"/>
    <w:rsid w:val="00DB065C"/>
    <w:rsid w:val="00DB1E7B"/>
    <w:rsid w:val="00DB426A"/>
    <w:rsid w:val="00DB7A94"/>
    <w:rsid w:val="00DC7B01"/>
    <w:rsid w:val="00DD635A"/>
    <w:rsid w:val="00DE356A"/>
    <w:rsid w:val="00DF42E3"/>
    <w:rsid w:val="00E038E0"/>
    <w:rsid w:val="00E25FED"/>
    <w:rsid w:val="00E32DC3"/>
    <w:rsid w:val="00E333DA"/>
    <w:rsid w:val="00E45C37"/>
    <w:rsid w:val="00E52854"/>
    <w:rsid w:val="00E5290E"/>
    <w:rsid w:val="00E61750"/>
    <w:rsid w:val="00E637B1"/>
    <w:rsid w:val="00E655FC"/>
    <w:rsid w:val="00E74C08"/>
    <w:rsid w:val="00E75A89"/>
    <w:rsid w:val="00E76B19"/>
    <w:rsid w:val="00E848EE"/>
    <w:rsid w:val="00E87EB5"/>
    <w:rsid w:val="00EA18D7"/>
    <w:rsid w:val="00EA46AF"/>
    <w:rsid w:val="00EB20F4"/>
    <w:rsid w:val="00EC2297"/>
    <w:rsid w:val="00EC5C63"/>
    <w:rsid w:val="00ED2423"/>
    <w:rsid w:val="00ED3995"/>
    <w:rsid w:val="00ED5D2F"/>
    <w:rsid w:val="00ED6E06"/>
    <w:rsid w:val="00EE432A"/>
    <w:rsid w:val="00EE46E5"/>
    <w:rsid w:val="00EE632C"/>
    <w:rsid w:val="00EF6D1B"/>
    <w:rsid w:val="00EF73EA"/>
    <w:rsid w:val="00F03B8A"/>
    <w:rsid w:val="00F06463"/>
    <w:rsid w:val="00F0694C"/>
    <w:rsid w:val="00F20FD9"/>
    <w:rsid w:val="00F23AF0"/>
    <w:rsid w:val="00F329FA"/>
    <w:rsid w:val="00F32E61"/>
    <w:rsid w:val="00F42EA7"/>
    <w:rsid w:val="00F47F6B"/>
    <w:rsid w:val="00F50BCA"/>
    <w:rsid w:val="00F5288E"/>
    <w:rsid w:val="00F53650"/>
    <w:rsid w:val="00F64F18"/>
    <w:rsid w:val="00F73ED5"/>
    <w:rsid w:val="00F81C58"/>
    <w:rsid w:val="00F90BE2"/>
    <w:rsid w:val="00FB1BD5"/>
    <w:rsid w:val="00FB377E"/>
    <w:rsid w:val="00FB7100"/>
    <w:rsid w:val="00FC1203"/>
    <w:rsid w:val="00FD64D9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65E156"/>
  <w15:docId w15:val="{51FA7F2B-80B3-46C7-B641-4E95DD66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40E"/>
  </w:style>
  <w:style w:type="paragraph" w:styleId="Piedepgina">
    <w:name w:val="footer"/>
    <w:basedOn w:val="Normal"/>
    <w:link w:val="Piedepgina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0E"/>
  </w:style>
  <w:style w:type="character" w:styleId="Hipervnculo">
    <w:name w:val="Hyperlink"/>
    <w:basedOn w:val="Fuentedeprrafopredeter"/>
    <w:uiPriority w:val="99"/>
    <w:unhideWhenUsed/>
    <w:rsid w:val="00FB71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EA7"/>
    <w:rPr>
      <w:color w:val="954F72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B6FF8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B6FF8"/>
    <w:rPr>
      <w:rFonts w:ascii="Consolas" w:hAnsi="Consolas" w:cs="Consolas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8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863"/>
    <w:rPr>
      <w:rFonts w:ascii="Segoe UI" w:hAnsi="Segoe UI" w:cs="Segoe UI"/>
      <w:sz w:val="18"/>
      <w:szCs w:val="18"/>
    </w:rPr>
  </w:style>
  <w:style w:type="paragraph" w:customStyle="1" w:styleId="CuerpoA">
    <w:name w:val="Cuerpo A"/>
    <w:rsid w:val="009718E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Times New Roman" w:eastAsia="Arial Unicode MS" w:hAnsi="Times New Roman" w:cs="Times New Roman"/>
      <w:color w:val="000000"/>
      <w:u w:color="000000"/>
    </w:rPr>
  </w:style>
  <w:style w:type="paragraph" w:customStyle="1" w:styleId="Cuerpo">
    <w:name w:val="Cuerpo"/>
    <w:rsid w:val="009718E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Times New Roman" w:eastAsia="Arial Unicode MS" w:hAnsi="Arial Unicode MS" w:cs="Arial Unicode MS"/>
      <w:color w:val="000000"/>
      <w:u w:color="000000"/>
    </w:rPr>
  </w:style>
  <w:style w:type="paragraph" w:styleId="Revisin">
    <w:name w:val="Revision"/>
    <w:hidden/>
    <w:uiPriority w:val="99"/>
    <w:semiHidden/>
    <w:rsid w:val="009D3A95"/>
  </w:style>
  <w:style w:type="paragraph" w:styleId="Prrafodelista">
    <w:name w:val="List Paragraph"/>
    <w:basedOn w:val="Normal"/>
    <w:uiPriority w:val="34"/>
    <w:qFormat/>
    <w:rsid w:val="002E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OF. ORDINARIO Nº 000</vt:lpstr>
      <vt:lpstr/>
      <vt:lpstr/>
      <vt:lpstr/>
      <vt:lpstr>DE : </vt:lpstr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Karina Castillo Iturriaga</cp:lastModifiedBy>
  <cp:revision>2</cp:revision>
  <cp:lastPrinted>2021-07-31T02:20:00Z</cp:lastPrinted>
  <dcterms:created xsi:type="dcterms:W3CDTF">2022-05-19T15:16:00Z</dcterms:created>
  <dcterms:modified xsi:type="dcterms:W3CDTF">2022-05-19T15:16:00Z</dcterms:modified>
</cp:coreProperties>
</file>