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30854" w14:textId="337388BE" w:rsidR="004575EB" w:rsidRPr="00E30B99" w:rsidRDefault="00F97620" w:rsidP="00E30B99">
      <w:pPr>
        <w:jc w:val="both"/>
        <w:rPr>
          <w:sz w:val="20"/>
          <w:szCs w:val="20"/>
        </w:rPr>
      </w:pPr>
      <w:r w:rsidRPr="00E30B99">
        <w:rPr>
          <w:sz w:val="20"/>
          <w:szCs w:val="20"/>
        </w:rPr>
        <w:t xml:space="preserve">De nuestra consideración: </w:t>
      </w:r>
    </w:p>
    <w:p w14:paraId="4F5398E2" w14:textId="419D1C69" w:rsidR="00B22D74" w:rsidRDefault="00B22D74" w:rsidP="00311716">
      <w:pPr>
        <w:ind w:firstLine="708"/>
        <w:jc w:val="both"/>
        <w:rPr>
          <w:sz w:val="20"/>
          <w:szCs w:val="20"/>
        </w:rPr>
      </w:pPr>
      <w:r w:rsidRPr="00E30B99">
        <w:rPr>
          <w:sz w:val="20"/>
          <w:szCs w:val="20"/>
        </w:rPr>
        <w:t>En primer lugar, queremos agradecer esta posibilidad que el Servicio de Aduanas, nos brinda poder conocer con anticipación las normas y disposiciones aduaneras</w:t>
      </w:r>
      <w:r w:rsidR="00A35CEA">
        <w:rPr>
          <w:sz w:val="20"/>
          <w:szCs w:val="20"/>
        </w:rPr>
        <w:t>, de manera virtual en los tiempos actuales.</w:t>
      </w:r>
    </w:p>
    <w:p w14:paraId="40491E01" w14:textId="14875193" w:rsidR="003C2B91" w:rsidRPr="001D58AF" w:rsidRDefault="00311716" w:rsidP="00E30B99">
      <w:pPr>
        <w:jc w:val="both"/>
        <w:rPr>
          <w:sz w:val="20"/>
          <w:szCs w:val="20"/>
        </w:rPr>
      </w:pPr>
      <w:r w:rsidRPr="001D58AF">
        <w:rPr>
          <w:sz w:val="20"/>
          <w:szCs w:val="20"/>
        </w:rPr>
        <w:tab/>
      </w:r>
      <w:r w:rsidR="001D58AF">
        <w:rPr>
          <w:sz w:val="20"/>
          <w:szCs w:val="20"/>
        </w:rPr>
        <w:t>S</w:t>
      </w:r>
      <w:r w:rsidR="00A35CEA" w:rsidRPr="001D58AF">
        <w:rPr>
          <w:sz w:val="20"/>
          <w:szCs w:val="20"/>
        </w:rPr>
        <w:t>obre la materia podemos complementar</w:t>
      </w:r>
      <w:r w:rsidRPr="001D58AF">
        <w:rPr>
          <w:sz w:val="20"/>
          <w:szCs w:val="20"/>
        </w:rPr>
        <w:t xml:space="preserve"> que existen dos formas para calificar un bien de capital. La primera de ella a través de la</w:t>
      </w:r>
      <w:r w:rsidRPr="001D58AF">
        <w:rPr>
          <w:bCs/>
          <w:sz w:val="20"/>
          <w:szCs w:val="20"/>
        </w:rPr>
        <w:t xml:space="preserve"> ley N° 21.210 y las </w:t>
      </w:r>
      <w:r w:rsidR="001D58AF" w:rsidRPr="001D58AF">
        <w:rPr>
          <w:bCs/>
          <w:sz w:val="20"/>
          <w:szCs w:val="20"/>
        </w:rPr>
        <w:t>características</w:t>
      </w:r>
      <w:r w:rsidRPr="001D58AF">
        <w:rPr>
          <w:bCs/>
          <w:sz w:val="20"/>
          <w:szCs w:val="20"/>
        </w:rPr>
        <w:t xml:space="preserve"> entregadas por el Decreto del Ministerio de Hacienda, N° 991, de </w:t>
      </w:r>
      <w:r w:rsidR="001D58AF" w:rsidRPr="001D58AF">
        <w:rPr>
          <w:bCs/>
          <w:sz w:val="20"/>
          <w:szCs w:val="20"/>
        </w:rPr>
        <w:t>19.06.2020</w:t>
      </w:r>
      <w:r w:rsidR="001D58AF" w:rsidRPr="001D58AF">
        <w:rPr>
          <w:sz w:val="20"/>
          <w:szCs w:val="20"/>
        </w:rPr>
        <w:t xml:space="preserve"> y</w:t>
      </w:r>
      <w:r w:rsidRPr="001D58AF">
        <w:rPr>
          <w:sz w:val="20"/>
          <w:szCs w:val="20"/>
        </w:rPr>
        <w:t xml:space="preserve"> la segunda calificación es mediante </w:t>
      </w:r>
      <w:r w:rsidR="003C2B91" w:rsidRPr="001D58AF">
        <w:rPr>
          <w:sz w:val="20"/>
          <w:szCs w:val="20"/>
        </w:rPr>
        <w:t>el Art. 3° de la</w:t>
      </w:r>
      <w:r w:rsidRPr="001D58AF">
        <w:rPr>
          <w:sz w:val="20"/>
          <w:szCs w:val="20"/>
        </w:rPr>
        <w:t xml:space="preserve"> ley 20269</w:t>
      </w:r>
      <w:r w:rsidR="003C2B91" w:rsidRPr="001D58AF">
        <w:rPr>
          <w:sz w:val="20"/>
          <w:szCs w:val="20"/>
        </w:rPr>
        <w:t>, la cual entrega el Listado de bienes capital para exención de derechos ad</w:t>
      </w:r>
      <w:r w:rsidR="001D58AF">
        <w:rPr>
          <w:sz w:val="20"/>
          <w:szCs w:val="20"/>
        </w:rPr>
        <w:t>-v</w:t>
      </w:r>
      <w:r w:rsidR="003C2B91" w:rsidRPr="001D58AF">
        <w:rPr>
          <w:sz w:val="20"/>
          <w:szCs w:val="20"/>
        </w:rPr>
        <w:t>alorem.</w:t>
      </w:r>
    </w:p>
    <w:p w14:paraId="7757D73A" w14:textId="62129794" w:rsidR="001D58AF" w:rsidRDefault="003C2B91" w:rsidP="00E30B99">
      <w:pPr>
        <w:jc w:val="both"/>
        <w:rPr>
          <w:sz w:val="20"/>
          <w:szCs w:val="20"/>
        </w:rPr>
      </w:pPr>
      <w:r>
        <w:rPr>
          <w:sz w:val="20"/>
          <w:szCs w:val="20"/>
        </w:rPr>
        <w:tab/>
        <w:t xml:space="preserve">En base a lo anterior podemos desprender que existen mercancías que no necesariamente pueden aplicar para las dos leyes, es decir, que no califican como bienes de capital para la Ley 20269, pero si para </w:t>
      </w:r>
      <w:r w:rsidR="001D58AF">
        <w:rPr>
          <w:sz w:val="20"/>
          <w:szCs w:val="20"/>
        </w:rPr>
        <w:t xml:space="preserve">el </w:t>
      </w:r>
      <w:r>
        <w:rPr>
          <w:sz w:val="20"/>
          <w:szCs w:val="20"/>
        </w:rPr>
        <w:t>Decreto 991</w:t>
      </w:r>
      <w:r w:rsidR="001D58AF">
        <w:rPr>
          <w:sz w:val="20"/>
          <w:szCs w:val="20"/>
        </w:rPr>
        <w:t xml:space="preserve"> del Ministerio de Hacienda.</w:t>
      </w:r>
    </w:p>
    <w:p w14:paraId="0B967B4C" w14:textId="1595B055" w:rsidR="001D58AF" w:rsidRDefault="001D58AF" w:rsidP="00E30B99">
      <w:pPr>
        <w:jc w:val="both"/>
        <w:rPr>
          <w:sz w:val="20"/>
          <w:szCs w:val="20"/>
        </w:rPr>
      </w:pPr>
      <w:r>
        <w:rPr>
          <w:sz w:val="20"/>
          <w:szCs w:val="20"/>
        </w:rPr>
        <w:tab/>
        <w:t>El párrafo anterior nos puede generar los siguientes Regímenes de Importación:</w:t>
      </w:r>
    </w:p>
    <w:tbl>
      <w:tblPr>
        <w:tblStyle w:val="Tablaconcuadrcula"/>
        <w:tblW w:w="0" w:type="auto"/>
        <w:tblInd w:w="1084" w:type="dxa"/>
        <w:tblLook w:val="04A0" w:firstRow="1" w:lastRow="0" w:firstColumn="1" w:lastColumn="0" w:noHBand="0" w:noVBand="1"/>
      </w:tblPr>
      <w:tblGrid>
        <w:gridCol w:w="1129"/>
        <w:gridCol w:w="1701"/>
        <w:gridCol w:w="1701"/>
        <w:gridCol w:w="1751"/>
      </w:tblGrid>
      <w:tr w:rsidR="001D58AF" w14:paraId="07BB940D" w14:textId="48880812" w:rsidTr="001D58AF">
        <w:tc>
          <w:tcPr>
            <w:tcW w:w="1129" w:type="dxa"/>
          </w:tcPr>
          <w:p w14:paraId="3677CCF5" w14:textId="49706AA2" w:rsidR="001D58AF" w:rsidRDefault="001D58AF" w:rsidP="00E30B99">
            <w:pPr>
              <w:jc w:val="both"/>
              <w:rPr>
                <w:sz w:val="20"/>
                <w:szCs w:val="20"/>
              </w:rPr>
            </w:pPr>
          </w:p>
        </w:tc>
        <w:tc>
          <w:tcPr>
            <w:tcW w:w="1701" w:type="dxa"/>
          </w:tcPr>
          <w:p w14:paraId="2CFEB29D" w14:textId="7CF61605" w:rsidR="001D58AF" w:rsidRDefault="001D58AF" w:rsidP="001D58AF">
            <w:pPr>
              <w:jc w:val="center"/>
              <w:rPr>
                <w:sz w:val="20"/>
                <w:szCs w:val="20"/>
              </w:rPr>
            </w:pPr>
            <w:r>
              <w:rPr>
                <w:sz w:val="20"/>
                <w:szCs w:val="20"/>
              </w:rPr>
              <w:t>1</w:t>
            </w:r>
          </w:p>
        </w:tc>
        <w:tc>
          <w:tcPr>
            <w:tcW w:w="1701" w:type="dxa"/>
          </w:tcPr>
          <w:p w14:paraId="4217022F" w14:textId="07B7C13F" w:rsidR="001D58AF" w:rsidRDefault="001D58AF" w:rsidP="001D58AF">
            <w:pPr>
              <w:jc w:val="center"/>
              <w:rPr>
                <w:sz w:val="20"/>
                <w:szCs w:val="20"/>
              </w:rPr>
            </w:pPr>
            <w:r>
              <w:rPr>
                <w:sz w:val="20"/>
                <w:szCs w:val="20"/>
              </w:rPr>
              <w:t>2</w:t>
            </w:r>
          </w:p>
        </w:tc>
        <w:tc>
          <w:tcPr>
            <w:tcW w:w="1751" w:type="dxa"/>
          </w:tcPr>
          <w:p w14:paraId="25AA7607" w14:textId="5D5E6E90" w:rsidR="001D58AF" w:rsidRDefault="001D58AF" w:rsidP="001D58AF">
            <w:pPr>
              <w:jc w:val="center"/>
              <w:rPr>
                <w:sz w:val="20"/>
                <w:szCs w:val="20"/>
              </w:rPr>
            </w:pPr>
            <w:r>
              <w:rPr>
                <w:sz w:val="20"/>
                <w:szCs w:val="20"/>
              </w:rPr>
              <w:t>3</w:t>
            </w:r>
          </w:p>
        </w:tc>
      </w:tr>
      <w:tr w:rsidR="001D58AF" w14:paraId="6E97353B" w14:textId="177EBC11" w:rsidTr="001D58AF">
        <w:tc>
          <w:tcPr>
            <w:tcW w:w="1129" w:type="dxa"/>
          </w:tcPr>
          <w:p w14:paraId="422B7B6F" w14:textId="3A98A246" w:rsidR="001D58AF" w:rsidRDefault="001D58AF" w:rsidP="00E30B99">
            <w:pPr>
              <w:jc w:val="both"/>
              <w:rPr>
                <w:sz w:val="20"/>
                <w:szCs w:val="20"/>
              </w:rPr>
            </w:pPr>
            <w:r>
              <w:rPr>
                <w:sz w:val="20"/>
                <w:szCs w:val="20"/>
              </w:rPr>
              <w:t xml:space="preserve">Derechos </w:t>
            </w:r>
          </w:p>
        </w:tc>
        <w:tc>
          <w:tcPr>
            <w:tcW w:w="1701" w:type="dxa"/>
          </w:tcPr>
          <w:p w14:paraId="192B1A75" w14:textId="13013CA0" w:rsidR="001D58AF" w:rsidRDefault="001D58AF" w:rsidP="001D58AF">
            <w:pPr>
              <w:jc w:val="center"/>
              <w:rPr>
                <w:sz w:val="20"/>
                <w:szCs w:val="20"/>
              </w:rPr>
            </w:pPr>
            <w:r>
              <w:rPr>
                <w:sz w:val="20"/>
                <w:szCs w:val="20"/>
              </w:rPr>
              <w:t>General (6%)</w:t>
            </w:r>
          </w:p>
        </w:tc>
        <w:tc>
          <w:tcPr>
            <w:tcW w:w="1701" w:type="dxa"/>
          </w:tcPr>
          <w:p w14:paraId="25A2B8C5" w14:textId="492FAC2C" w:rsidR="001D58AF" w:rsidRDefault="001D58AF" w:rsidP="001D58AF">
            <w:pPr>
              <w:jc w:val="center"/>
              <w:rPr>
                <w:sz w:val="20"/>
                <w:szCs w:val="20"/>
              </w:rPr>
            </w:pPr>
            <w:r>
              <w:rPr>
                <w:sz w:val="20"/>
                <w:szCs w:val="20"/>
              </w:rPr>
              <w:t>TLC</w:t>
            </w:r>
          </w:p>
        </w:tc>
        <w:tc>
          <w:tcPr>
            <w:tcW w:w="1751" w:type="dxa"/>
          </w:tcPr>
          <w:p w14:paraId="7401A3A0" w14:textId="267A5F8A" w:rsidR="001D58AF" w:rsidRDefault="001D58AF" w:rsidP="001D58AF">
            <w:pPr>
              <w:jc w:val="center"/>
              <w:rPr>
                <w:sz w:val="20"/>
                <w:szCs w:val="20"/>
              </w:rPr>
            </w:pPr>
            <w:r>
              <w:rPr>
                <w:sz w:val="20"/>
                <w:szCs w:val="20"/>
              </w:rPr>
              <w:t>Ley 20269</w:t>
            </w:r>
          </w:p>
        </w:tc>
      </w:tr>
      <w:tr w:rsidR="001D58AF" w14:paraId="502166CB" w14:textId="7DEF2DF4" w:rsidTr="001D58AF">
        <w:tc>
          <w:tcPr>
            <w:tcW w:w="1129" w:type="dxa"/>
          </w:tcPr>
          <w:p w14:paraId="39E20634" w14:textId="4919923F" w:rsidR="001D58AF" w:rsidRDefault="001D58AF" w:rsidP="00E30B99">
            <w:pPr>
              <w:jc w:val="both"/>
              <w:rPr>
                <w:sz w:val="20"/>
                <w:szCs w:val="20"/>
              </w:rPr>
            </w:pPr>
            <w:r>
              <w:rPr>
                <w:sz w:val="20"/>
                <w:szCs w:val="20"/>
              </w:rPr>
              <w:t>IVA</w:t>
            </w:r>
          </w:p>
        </w:tc>
        <w:tc>
          <w:tcPr>
            <w:tcW w:w="1701" w:type="dxa"/>
          </w:tcPr>
          <w:p w14:paraId="2F14D6C7" w14:textId="6A80FEF6" w:rsidR="001D58AF" w:rsidRDefault="001D58AF" w:rsidP="001D58AF">
            <w:pPr>
              <w:jc w:val="center"/>
              <w:rPr>
                <w:sz w:val="20"/>
                <w:szCs w:val="20"/>
              </w:rPr>
            </w:pPr>
            <w:r>
              <w:rPr>
                <w:sz w:val="20"/>
                <w:szCs w:val="20"/>
              </w:rPr>
              <w:t>Decreto 991</w:t>
            </w:r>
          </w:p>
        </w:tc>
        <w:tc>
          <w:tcPr>
            <w:tcW w:w="1701" w:type="dxa"/>
          </w:tcPr>
          <w:p w14:paraId="4D805A9F" w14:textId="7D0C2925" w:rsidR="001D58AF" w:rsidRDefault="001D58AF" w:rsidP="001D58AF">
            <w:pPr>
              <w:jc w:val="center"/>
              <w:rPr>
                <w:sz w:val="20"/>
                <w:szCs w:val="20"/>
              </w:rPr>
            </w:pPr>
            <w:r>
              <w:rPr>
                <w:sz w:val="20"/>
                <w:szCs w:val="20"/>
              </w:rPr>
              <w:t>Decreto 991</w:t>
            </w:r>
          </w:p>
        </w:tc>
        <w:tc>
          <w:tcPr>
            <w:tcW w:w="1751" w:type="dxa"/>
          </w:tcPr>
          <w:p w14:paraId="5BC2DB28" w14:textId="091731D9" w:rsidR="001D58AF" w:rsidRDefault="001D58AF" w:rsidP="001D58AF">
            <w:pPr>
              <w:jc w:val="center"/>
              <w:rPr>
                <w:sz w:val="20"/>
                <w:szCs w:val="20"/>
              </w:rPr>
            </w:pPr>
            <w:r>
              <w:rPr>
                <w:sz w:val="20"/>
                <w:szCs w:val="20"/>
              </w:rPr>
              <w:t>Decreto 991</w:t>
            </w:r>
          </w:p>
        </w:tc>
      </w:tr>
    </w:tbl>
    <w:p w14:paraId="666FB112" w14:textId="0B064BCC" w:rsidR="00A35CEA" w:rsidRDefault="003C2B91" w:rsidP="00E30B99">
      <w:pPr>
        <w:jc w:val="both"/>
        <w:rPr>
          <w:sz w:val="20"/>
          <w:szCs w:val="20"/>
        </w:rPr>
      </w:pPr>
      <w:r>
        <w:rPr>
          <w:sz w:val="20"/>
          <w:szCs w:val="20"/>
        </w:rPr>
        <w:t xml:space="preserve"> </w:t>
      </w:r>
    </w:p>
    <w:p w14:paraId="28DFAE21" w14:textId="435DB9EE" w:rsidR="00C80184" w:rsidRDefault="001D58AF" w:rsidP="00E30B99">
      <w:pPr>
        <w:jc w:val="both"/>
        <w:rPr>
          <w:sz w:val="20"/>
          <w:szCs w:val="20"/>
        </w:rPr>
      </w:pPr>
      <w:r>
        <w:rPr>
          <w:sz w:val="20"/>
          <w:szCs w:val="20"/>
        </w:rPr>
        <w:tab/>
      </w:r>
      <w:r w:rsidR="00C80184" w:rsidRPr="00E30B99">
        <w:rPr>
          <w:sz w:val="20"/>
          <w:szCs w:val="20"/>
        </w:rPr>
        <w:t>Sin</w:t>
      </w:r>
      <w:r w:rsidR="00F97620" w:rsidRPr="00E30B99">
        <w:rPr>
          <w:sz w:val="20"/>
          <w:szCs w:val="20"/>
        </w:rPr>
        <w:t xml:space="preserve"> </w:t>
      </w:r>
      <w:r w:rsidR="00C80184" w:rsidRPr="00E30B99">
        <w:rPr>
          <w:sz w:val="20"/>
          <w:szCs w:val="20"/>
        </w:rPr>
        <w:t>otro particular y esperando una buena acogida a nuestras observaciones, saluda cordialmente a usted,</w:t>
      </w:r>
    </w:p>
    <w:p w14:paraId="7DB2B1A7" w14:textId="4B565DD6" w:rsidR="00A04A61" w:rsidRDefault="00A04A61" w:rsidP="00E30B99">
      <w:pPr>
        <w:jc w:val="both"/>
        <w:rPr>
          <w:sz w:val="20"/>
          <w:szCs w:val="20"/>
        </w:rPr>
      </w:pPr>
    </w:p>
    <w:p w14:paraId="4B5AB27C" w14:textId="64F2D938" w:rsidR="00A04A61" w:rsidRPr="00E30B99" w:rsidRDefault="00A04A61" w:rsidP="00E30B99">
      <w:pPr>
        <w:jc w:val="both"/>
        <w:rPr>
          <w:sz w:val="20"/>
          <w:szCs w:val="20"/>
        </w:rPr>
      </w:pPr>
      <w:r>
        <w:rPr>
          <w:sz w:val="20"/>
          <w:szCs w:val="20"/>
        </w:rPr>
        <w:t>Jean Paul Blancaire</w:t>
      </w:r>
    </w:p>
    <w:p w14:paraId="60F899D3" w14:textId="3C321B81" w:rsidR="00C80184" w:rsidRPr="00E30B99" w:rsidRDefault="00C80184" w:rsidP="00E30B99">
      <w:pPr>
        <w:jc w:val="both"/>
        <w:rPr>
          <w:sz w:val="20"/>
          <w:szCs w:val="20"/>
        </w:rPr>
      </w:pPr>
    </w:p>
    <w:p w14:paraId="1D23AA02" w14:textId="77777777" w:rsidR="00C80184" w:rsidRPr="00E30B99" w:rsidRDefault="00C80184" w:rsidP="00E30B99">
      <w:pPr>
        <w:jc w:val="both"/>
        <w:rPr>
          <w:sz w:val="20"/>
          <w:szCs w:val="20"/>
        </w:rPr>
      </w:pPr>
    </w:p>
    <w:p w14:paraId="1313E7A4" w14:textId="1EF34D4C" w:rsidR="00F97620" w:rsidRPr="00E30B99" w:rsidRDefault="00C80184" w:rsidP="00E30B99">
      <w:pPr>
        <w:jc w:val="both"/>
        <w:rPr>
          <w:sz w:val="20"/>
          <w:szCs w:val="20"/>
        </w:rPr>
      </w:pPr>
      <w:r w:rsidRPr="00E30B99">
        <w:rPr>
          <w:sz w:val="20"/>
          <w:szCs w:val="20"/>
        </w:rPr>
        <w:t xml:space="preserve">                                        </w:t>
      </w:r>
      <w:r w:rsidR="00F97620" w:rsidRPr="00E30B99">
        <w:rPr>
          <w:sz w:val="20"/>
          <w:szCs w:val="20"/>
        </w:rPr>
        <w:t xml:space="preserve">              </w:t>
      </w:r>
    </w:p>
    <w:p w14:paraId="412C9084" w14:textId="4606AAA9" w:rsidR="004575EB" w:rsidRPr="00E30B99" w:rsidRDefault="00C80184" w:rsidP="00E30B99">
      <w:pPr>
        <w:jc w:val="both"/>
        <w:rPr>
          <w:sz w:val="20"/>
          <w:szCs w:val="20"/>
        </w:rPr>
      </w:pPr>
      <w:r w:rsidRPr="00E30B99">
        <w:rPr>
          <w:sz w:val="20"/>
          <w:szCs w:val="20"/>
        </w:rPr>
        <w:t xml:space="preserve">                                                                         </w:t>
      </w:r>
    </w:p>
    <w:sectPr w:rsidR="004575EB" w:rsidRPr="00E30B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EB"/>
    <w:rsid w:val="000A21AE"/>
    <w:rsid w:val="001071AA"/>
    <w:rsid w:val="001202EA"/>
    <w:rsid w:val="0012235A"/>
    <w:rsid w:val="001860D2"/>
    <w:rsid w:val="00195EDD"/>
    <w:rsid w:val="001D2B77"/>
    <w:rsid w:val="001D58AF"/>
    <w:rsid w:val="002C1E5D"/>
    <w:rsid w:val="00311716"/>
    <w:rsid w:val="00353A8D"/>
    <w:rsid w:val="00381056"/>
    <w:rsid w:val="003C2B91"/>
    <w:rsid w:val="003D2F1B"/>
    <w:rsid w:val="0041025F"/>
    <w:rsid w:val="004575EB"/>
    <w:rsid w:val="00500518"/>
    <w:rsid w:val="00555222"/>
    <w:rsid w:val="005649FC"/>
    <w:rsid w:val="00673509"/>
    <w:rsid w:val="008B2AC2"/>
    <w:rsid w:val="008F7240"/>
    <w:rsid w:val="00A04A61"/>
    <w:rsid w:val="00A11886"/>
    <w:rsid w:val="00A3324E"/>
    <w:rsid w:val="00A35CEA"/>
    <w:rsid w:val="00AC0E31"/>
    <w:rsid w:val="00B22D74"/>
    <w:rsid w:val="00C24568"/>
    <w:rsid w:val="00C80184"/>
    <w:rsid w:val="00E00FD2"/>
    <w:rsid w:val="00E30B99"/>
    <w:rsid w:val="00F976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9AF1"/>
  <w15:chartTrackingRefBased/>
  <w15:docId w15:val="{4918B5ED-DE43-404E-B940-C52C90D9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0F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FD2"/>
    <w:rPr>
      <w:rFonts w:ascii="Segoe UI" w:hAnsi="Segoe UI" w:cs="Segoe UI"/>
      <w:sz w:val="18"/>
      <w:szCs w:val="18"/>
    </w:rPr>
  </w:style>
  <w:style w:type="table" w:styleId="Tablaconcuadrcula">
    <w:name w:val="Table Grid"/>
    <w:basedOn w:val="Tablanormal"/>
    <w:uiPriority w:val="39"/>
    <w:rsid w:val="001D5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Montalban Arredondo</dc:creator>
  <cp:keywords/>
  <dc:description/>
  <cp:lastModifiedBy>Jean Paul Blancaire</cp:lastModifiedBy>
  <cp:revision>3</cp:revision>
  <dcterms:created xsi:type="dcterms:W3CDTF">2021-01-19T13:42:00Z</dcterms:created>
  <dcterms:modified xsi:type="dcterms:W3CDTF">2021-01-19T13:45:00Z</dcterms:modified>
</cp:coreProperties>
</file>