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12B8" w14:textId="77777777" w:rsidR="00CA4D19" w:rsidRPr="00CA4D19" w:rsidRDefault="00CA4D19" w:rsidP="00CA4D19">
      <w:pPr>
        <w:rPr>
          <w:lang w:val="es-ES_tradnl"/>
        </w:rPr>
      </w:pPr>
      <w:r w:rsidRPr="00CA4D19">
        <w:rPr>
          <w:lang w:val="es-ES_tradnl"/>
        </w:rPr>
        <w:softHyphen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</w:p>
    <w:p w14:paraId="011BEE25" w14:textId="77777777" w:rsidR="00CA4D19" w:rsidRPr="00CA4D19" w:rsidRDefault="00CA4D19" w:rsidP="003F52A9">
      <w:pPr>
        <w:ind w:firstLine="3544"/>
        <w:rPr>
          <w:lang w:val="es-ES_tradnl"/>
        </w:rPr>
      </w:pPr>
      <w:r>
        <w:rPr>
          <w:b/>
          <w:lang w:val="es-ES_tradnl"/>
        </w:rPr>
        <w:t xml:space="preserve">   </w:t>
      </w:r>
      <w:r w:rsidRPr="00CA4D19">
        <w:rPr>
          <w:b/>
          <w:lang w:val="es-ES_tradnl"/>
        </w:rPr>
        <w:t>RESOLUCIÓN EXENTA N°</w:t>
      </w:r>
    </w:p>
    <w:p w14:paraId="278BB7FE" w14:textId="77777777" w:rsidR="00842E01" w:rsidRDefault="00CA4D19" w:rsidP="00CA4D19">
      <w:pPr>
        <w:rPr>
          <w:lang w:val="es-ES_tradnl"/>
        </w:rPr>
      </w:pP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  <w:r w:rsidRPr="00CA4D19">
        <w:rPr>
          <w:lang w:val="es-ES_tradnl"/>
        </w:rPr>
        <w:tab/>
      </w:r>
    </w:p>
    <w:p w14:paraId="361E47BE" w14:textId="77777777" w:rsidR="00CA4D19" w:rsidRPr="00CA4D19" w:rsidRDefault="00CA4D19" w:rsidP="003F52A9">
      <w:pPr>
        <w:tabs>
          <w:tab w:val="left" w:pos="3686"/>
        </w:tabs>
        <w:ind w:firstLine="3686"/>
        <w:rPr>
          <w:b/>
          <w:lang w:val="es-ES_tradnl"/>
        </w:rPr>
      </w:pPr>
      <w:r w:rsidRPr="00CA4D19">
        <w:rPr>
          <w:b/>
          <w:lang w:val="es-ES_tradnl"/>
        </w:rPr>
        <w:t>VALPARAISO,</w:t>
      </w:r>
    </w:p>
    <w:p w14:paraId="42B31968" w14:textId="77777777" w:rsidR="009C6E1C" w:rsidRDefault="00CA4D19" w:rsidP="009C6E1C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</w:t>
      </w:r>
    </w:p>
    <w:p w14:paraId="6BE2709D" w14:textId="77777777" w:rsidR="009C6E1C" w:rsidRDefault="00CA4D19" w:rsidP="003F52A9">
      <w:pPr>
        <w:ind w:firstLine="3686"/>
        <w:rPr>
          <w:b/>
          <w:lang w:val="es-ES_tradnl"/>
        </w:rPr>
      </w:pPr>
      <w:r w:rsidRPr="00CA4D19">
        <w:rPr>
          <w:b/>
          <w:lang w:val="es-ES_tradnl"/>
        </w:rPr>
        <w:t>VIS</w:t>
      </w:r>
      <w:r w:rsidR="009C6E1C">
        <w:rPr>
          <w:b/>
          <w:lang w:val="es-ES_tradnl"/>
        </w:rPr>
        <w:t>TOS:</w:t>
      </w:r>
    </w:p>
    <w:p w14:paraId="69071BF6" w14:textId="77777777" w:rsidR="009C6E1C" w:rsidRPr="009C6E1C" w:rsidRDefault="00842E01" w:rsidP="009C6E1C">
      <w:pPr>
        <w:ind w:firstLine="3686"/>
        <w:jc w:val="both"/>
        <w:rPr>
          <w:lang w:val="es-ES_tradnl"/>
        </w:rPr>
      </w:pPr>
      <w:r w:rsidRPr="00842E01">
        <w:rPr>
          <w:lang w:val="es-ES_tradnl"/>
        </w:rPr>
        <w:t>La Resolución N° 1.300, de 14.03.2006, del Director Nacional de Aduanas, que fijó el texto del Compendio de Normas Aduaneras y sus modificaciones</w:t>
      </w:r>
      <w:r>
        <w:rPr>
          <w:lang w:val="es-ES_tradnl"/>
        </w:rPr>
        <w:t>.</w:t>
      </w:r>
      <w:r w:rsidR="00CA4D19" w:rsidRPr="00842E01">
        <w:rPr>
          <w:lang w:val="es-ES_tradnl"/>
        </w:rPr>
        <w:t xml:space="preserve">                                               </w:t>
      </w:r>
    </w:p>
    <w:p w14:paraId="50C89FFB" w14:textId="77777777" w:rsidR="009C6E1C" w:rsidRDefault="009C6E1C" w:rsidP="00842E01">
      <w:pPr>
        <w:tabs>
          <w:tab w:val="left" w:pos="3402"/>
        </w:tabs>
        <w:ind w:firstLine="3686"/>
        <w:jc w:val="both"/>
        <w:rPr>
          <w:lang w:val="es-ES_tradnl"/>
        </w:rPr>
      </w:pPr>
      <w:r w:rsidRPr="009C6E1C">
        <w:rPr>
          <w:lang w:val="es-ES_tradnl"/>
        </w:rPr>
        <w:t>La Resolución N°6</w:t>
      </w:r>
      <w:r w:rsidR="00B83BEF">
        <w:rPr>
          <w:lang w:val="es-ES_tradnl"/>
        </w:rPr>
        <w:t>.</w:t>
      </w:r>
      <w:r w:rsidRPr="009C6E1C">
        <w:rPr>
          <w:lang w:val="es-ES_tradnl"/>
        </w:rPr>
        <w:t>654 de 29.12.2010 del Director N</w:t>
      </w:r>
      <w:r w:rsidR="00874E05">
        <w:rPr>
          <w:lang w:val="es-ES_tradnl"/>
        </w:rPr>
        <w:t>acional de Aduanas, que sustituy</w:t>
      </w:r>
      <w:r w:rsidR="00842E01">
        <w:rPr>
          <w:lang w:val="es-ES_tradnl"/>
        </w:rPr>
        <w:t>ó</w:t>
      </w:r>
      <w:r w:rsidRPr="009C6E1C">
        <w:rPr>
          <w:lang w:val="es-ES_tradnl"/>
        </w:rPr>
        <w:t xml:space="preserve"> el Anexo 51-21</w:t>
      </w:r>
      <w:r w:rsidR="00874E05">
        <w:rPr>
          <w:lang w:val="es-ES_tradnl"/>
        </w:rPr>
        <w:t>,</w:t>
      </w:r>
      <w:r w:rsidRPr="009C6E1C">
        <w:rPr>
          <w:lang w:val="es-ES_tradnl"/>
        </w:rPr>
        <w:t xml:space="preserve"> referente a Cláusulas de Compraventa del Compendio de Normas Aduaneras.</w:t>
      </w:r>
    </w:p>
    <w:p w14:paraId="3BAE4470" w14:textId="77777777" w:rsidR="00842E01" w:rsidRPr="00842E01" w:rsidRDefault="00842E01" w:rsidP="00842E01">
      <w:pPr>
        <w:tabs>
          <w:tab w:val="left" w:pos="3402"/>
        </w:tabs>
        <w:ind w:firstLine="3686"/>
        <w:jc w:val="both"/>
        <w:rPr>
          <w:lang w:val="es-ES_tradnl"/>
        </w:rPr>
      </w:pPr>
    </w:p>
    <w:p w14:paraId="278457E1" w14:textId="77777777" w:rsidR="00CA4D19" w:rsidRPr="00CA4D19" w:rsidRDefault="00CA4D19" w:rsidP="00842E01">
      <w:pPr>
        <w:tabs>
          <w:tab w:val="left" w:pos="3402"/>
        </w:tabs>
        <w:jc w:val="center"/>
        <w:rPr>
          <w:b/>
          <w:lang w:val="es-ES_tradnl"/>
        </w:rPr>
      </w:pPr>
      <w:r w:rsidRPr="00CA4D19">
        <w:rPr>
          <w:b/>
          <w:lang w:val="es-ES_tradnl"/>
        </w:rPr>
        <w:t>CONSIDERANDO:</w:t>
      </w:r>
    </w:p>
    <w:p w14:paraId="1B2C0864" w14:textId="77777777" w:rsidR="00BD3FA2" w:rsidRDefault="00CA4D19" w:rsidP="00E9346D">
      <w:pPr>
        <w:jc w:val="both"/>
      </w:pPr>
      <w:r>
        <w:rPr>
          <w:lang w:val="es-ES_tradnl"/>
        </w:rPr>
        <w:t xml:space="preserve">                                                                     </w:t>
      </w:r>
      <w:r w:rsidR="00FA41E8">
        <w:rPr>
          <w:lang w:val="es-ES_tradnl"/>
        </w:rPr>
        <w:t xml:space="preserve">  </w:t>
      </w:r>
      <w:r w:rsidR="00BD3FA2" w:rsidRPr="00BD3FA2">
        <w:rPr>
          <w:lang w:val="es-ES_tradnl"/>
        </w:rPr>
        <w:t xml:space="preserve">Que, </w:t>
      </w:r>
      <w:r w:rsidR="003D4564">
        <w:rPr>
          <w:lang w:val="es-ES_tradnl"/>
        </w:rPr>
        <w:t>conforme lo establec</w:t>
      </w:r>
      <w:r w:rsidR="002E4B2D">
        <w:rPr>
          <w:lang w:val="es-ES_tradnl"/>
        </w:rPr>
        <w:t xml:space="preserve">ido </w:t>
      </w:r>
      <w:r w:rsidR="003D4564">
        <w:rPr>
          <w:lang w:val="es-ES_tradnl"/>
        </w:rPr>
        <w:t>e</w:t>
      </w:r>
      <w:r w:rsidR="002E4B2D">
        <w:rPr>
          <w:lang w:val="es-ES_tradnl"/>
        </w:rPr>
        <w:t>n</w:t>
      </w:r>
      <w:r w:rsidR="003D4564">
        <w:rPr>
          <w:lang w:val="es-ES_tradnl"/>
        </w:rPr>
        <w:t xml:space="preserve"> el numeral</w:t>
      </w:r>
      <w:r w:rsidR="002E4B2D">
        <w:rPr>
          <w:lang w:val="es-ES_tradnl"/>
        </w:rPr>
        <w:t xml:space="preserve"> 9.1 del Capítulo III sobre </w:t>
      </w:r>
      <w:r w:rsidR="005E659B" w:rsidRPr="005E659B">
        <w:rPr>
          <w:lang w:val="es-ES_tradnl"/>
        </w:rPr>
        <w:t>confección</w:t>
      </w:r>
      <w:r w:rsidR="005E659B">
        <w:rPr>
          <w:lang w:val="es-ES_tradnl"/>
        </w:rPr>
        <w:t xml:space="preserve"> y formalización</w:t>
      </w:r>
      <w:r w:rsidR="005E659B" w:rsidRPr="005E659B">
        <w:rPr>
          <w:lang w:val="es-ES_tradnl"/>
        </w:rPr>
        <w:t xml:space="preserve"> de la declaración</w:t>
      </w:r>
      <w:r w:rsidR="005E659B">
        <w:rPr>
          <w:lang w:val="es-ES_tradnl"/>
        </w:rPr>
        <w:t>, como así también lo dispuesto en el numeral</w:t>
      </w:r>
      <w:r w:rsidR="003D4564">
        <w:rPr>
          <w:lang w:val="es-ES_tradnl"/>
        </w:rPr>
        <w:t xml:space="preserve"> 10.4 del Anexo 18</w:t>
      </w:r>
      <w:r w:rsidR="005E659B">
        <w:rPr>
          <w:lang w:val="es-ES_tradnl"/>
        </w:rPr>
        <w:t>,</w:t>
      </w:r>
      <w:r w:rsidR="00C74A24">
        <w:rPr>
          <w:lang w:val="es-ES_tradnl"/>
        </w:rPr>
        <w:t xml:space="preserve"> </w:t>
      </w:r>
      <w:r w:rsidR="005E659B">
        <w:rPr>
          <w:lang w:val="es-ES_tradnl"/>
        </w:rPr>
        <w:t>ambos</w:t>
      </w:r>
      <w:r w:rsidR="0066070A">
        <w:rPr>
          <w:lang w:val="es-ES_tradnl"/>
        </w:rPr>
        <w:t xml:space="preserve"> </w:t>
      </w:r>
      <w:r w:rsidR="00E803B3">
        <w:rPr>
          <w:lang w:val="es-ES_tradnl"/>
        </w:rPr>
        <w:t xml:space="preserve">del Compendio de Normas Aduaneras, </w:t>
      </w:r>
      <w:r w:rsidR="00BD3FA2" w:rsidRPr="00BD3FA2">
        <w:rPr>
          <w:lang w:val="es-ES_tradnl"/>
        </w:rPr>
        <w:t>la sigla de la cláusula de compra</w:t>
      </w:r>
      <w:r w:rsidR="00FA41E8">
        <w:rPr>
          <w:lang w:val="es-ES_tradnl"/>
        </w:rPr>
        <w:t>venta</w:t>
      </w:r>
      <w:r w:rsidR="00BD3FA2" w:rsidRPr="00BD3FA2">
        <w:rPr>
          <w:lang w:val="es-ES_tradnl"/>
        </w:rPr>
        <w:t xml:space="preserve"> pactada </w:t>
      </w:r>
      <w:r w:rsidR="00C74A24">
        <w:rPr>
          <w:lang w:val="es-ES_tradnl"/>
        </w:rPr>
        <w:t xml:space="preserve">en </w:t>
      </w:r>
      <w:r w:rsidR="00BD3FA2" w:rsidRPr="00BD3FA2">
        <w:rPr>
          <w:lang w:val="es-ES_tradnl"/>
        </w:rPr>
        <w:t>la operación de importación</w:t>
      </w:r>
      <w:r w:rsidR="00FA41E8">
        <w:rPr>
          <w:lang w:val="es-ES_tradnl"/>
        </w:rPr>
        <w:t>,</w:t>
      </w:r>
      <w:r w:rsidR="00BD3FA2" w:rsidRPr="00BD3FA2">
        <w:rPr>
          <w:lang w:val="es-ES_tradnl"/>
        </w:rPr>
        <w:t xml:space="preserve"> que se indica en la respectiva declaración de ingreso</w:t>
      </w:r>
      <w:r w:rsidR="003D4564">
        <w:rPr>
          <w:lang w:val="es-ES_tradnl"/>
        </w:rPr>
        <w:t xml:space="preserve">, </w:t>
      </w:r>
      <w:r w:rsidR="00BD3FA2" w:rsidRPr="00BD3FA2">
        <w:rPr>
          <w:lang w:val="es-ES_tradnl"/>
        </w:rPr>
        <w:t xml:space="preserve">corresponde a la </w:t>
      </w:r>
      <w:r w:rsidR="003D4564">
        <w:rPr>
          <w:lang w:val="es-ES_tradnl"/>
        </w:rPr>
        <w:t xml:space="preserve">señalada </w:t>
      </w:r>
      <w:r w:rsidR="00BD3FA2" w:rsidRPr="00BD3FA2">
        <w:rPr>
          <w:lang w:val="es-ES_tradnl"/>
        </w:rPr>
        <w:t>en el Anexo N° 51-21 de</w:t>
      </w:r>
      <w:r w:rsidR="005E659B">
        <w:rPr>
          <w:lang w:val="es-ES_tradnl"/>
        </w:rPr>
        <w:t>l</w:t>
      </w:r>
      <w:r w:rsidR="00C74A24">
        <w:rPr>
          <w:lang w:val="es-ES_tradnl"/>
        </w:rPr>
        <w:t xml:space="preserve"> </w:t>
      </w:r>
      <w:r w:rsidR="005E659B">
        <w:rPr>
          <w:lang w:val="es-ES_tradnl"/>
        </w:rPr>
        <w:t>mismo</w:t>
      </w:r>
      <w:r w:rsidR="00C74A24">
        <w:rPr>
          <w:lang w:val="es-ES_tradnl"/>
        </w:rPr>
        <w:t xml:space="preserve"> </w:t>
      </w:r>
      <w:r w:rsidR="00BD3FA2" w:rsidRPr="00BD3FA2">
        <w:rPr>
          <w:lang w:val="es-ES_tradnl"/>
        </w:rPr>
        <w:t>Compendio</w:t>
      </w:r>
      <w:r w:rsidR="003D4564">
        <w:rPr>
          <w:lang w:val="es-ES_tradnl"/>
        </w:rPr>
        <w:t xml:space="preserve">, </w:t>
      </w:r>
      <w:r w:rsidR="006B3C75">
        <w:rPr>
          <w:lang w:val="es-ES_tradnl"/>
        </w:rPr>
        <w:t>cuya</w:t>
      </w:r>
      <w:r w:rsidR="00BD3FA2" w:rsidRPr="00BD3FA2">
        <w:rPr>
          <w:lang w:val="es-ES_tradnl"/>
        </w:rPr>
        <w:t xml:space="preserve"> base </w:t>
      </w:r>
      <w:r w:rsidR="006B3C75">
        <w:rPr>
          <w:lang w:val="es-ES_tradnl"/>
        </w:rPr>
        <w:t xml:space="preserve">se encuentra </w:t>
      </w:r>
      <w:r w:rsidR="00BD3FA2" w:rsidRPr="00BD3FA2">
        <w:rPr>
          <w:lang w:val="es-ES_tradnl"/>
        </w:rPr>
        <w:t>en las reglas y usos estandarizados del comercio internacional, elaboradas y actualizadas por la Cámara de Comercio Internacional</w:t>
      </w:r>
      <w:r w:rsidR="006B3C75">
        <w:rPr>
          <w:lang w:val="es-ES_tradnl"/>
        </w:rPr>
        <w:t xml:space="preserve"> </w:t>
      </w:r>
      <w:r w:rsidR="00BD3FA2" w:rsidRPr="00BD3FA2">
        <w:rPr>
          <w:lang w:val="es-ES_tradnl"/>
        </w:rPr>
        <w:t>presentadas en forma de compendio a través de los INCOTERMS (términos de comercio internacional), que reflejan las normas de aceptación voluntaria por las partes</w:t>
      </w:r>
      <w:r w:rsidR="00664BC9">
        <w:rPr>
          <w:lang w:val="es-ES_tradnl"/>
        </w:rPr>
        <w:t>,</w:t>
      </w:r>
      <w:r w:rsidR="00BD3FA2" w:rsidRPr="00BD3FA2">
        <w:rPr>
          <w:lang w:val="es-ES_tradnl"/>
        </w:rPr>
        <w:t xml:space="preserve"> en un contrato de compraventa internacional de mercaderías</w:t>
      </w:r>
      <w:r w:rsidR="006B3C75">
        <w:rPr>
          <w:lang w:val="es-ES_tradnl"/>
        </w:rPr>
        <w:t xml:space="preserve"> y las </w:t>
      </w:r>
      <w:r w:rsidR="00BD3FA2" w:rsidRPr="00BD3FA2">
        <w:rPr>
          <w:lang w:val="es-ES_tradnl"/>
        </w:rPr>
        <w:t>condiciones de entrega de</w:t>
      </w:r>
      <w:r w:rsidR="003D762F">
        <w:rPr>
          <w:lang w:val="es-ES_tradnl"/>
        </w:rPr>
        <w:t xml:space="preserve"> </w:t>
      </w:r>
      <w:r w:rsidR="00FA41E8">
        <w:rPr>
          <w:lang w:val="es-ES_tradnl"/>
        </w:rPr>
        <w:t>é</w:t>
      </w:r>
      <w:r w:rsidR="003D762F">
        <w:rPr>
          <w:lang w:val="es-ES_tradnl"/>
        </w:rPr>
        <w:t>stas</w:t>
      </w:r>
      <w:r w:rsidR="00D262A1" w:rsidRPr="00D262A1">
        <w:t>.</w:t>
      </w:r>
    </w:p>
    <w:p w14:paraId="034A99E8" w14:textId="77777777" w:rsidR="00CD3F09" w:rsidRPr="00CD3F09" w:rsidRDefault="003F798F" w:rsidP="00CD3F09">
      <w:pPr>
        <w:tabs>
          <w:tab w:val="num" w:pos="720"/>
        </w:tabs>
        <w:jc w:val="both"/>
      </w:pPr>
      <w:r>
        <w:tab/>
      </w:r>
      <w:r>
        <w:tab/>
      </w:r>
      <w:r>
        <w:tab/>
      </w:r>
      <w:r>
        <w:tab/>
      </w:r>
      <w:r w:rsidR="00122A43">
        <w:t xml:space="preserve">            </w:t>
      </w:r>
      <w:r w:rsidR="00467C2F" w:rsidRPr="00467C2F">
        <w:t>Que,</w:t>
      </w:r>
      <w:r w:rsidR="00D262A1">
        <w:t xml:space="preserve"> </w:t>
      </w:r>
      <w:r w:rsidR="00D262A1" w:rsidRPr="00D262A1">
        <w:rPr>
          <w:lang w:val="es-ES_tradnl"/>
        </w:rPr>
        <w:t xml:space="preserve">la Cámara </w:t>
      </w:r>
      <w:r w:rsidR="00842E01">
        <w:rPr>
          <w:lang w:val="es-ES_tradnl"/>
        </w:rPr>
        <w:t>Internacional de Comercio</w:t>
      </w:r>
      <w:r w:rsidR="00D262A1" w:rsidRPr="00D262A1">
        <w:rPr>
          <w:lang w:val="es-ES_tradnl"/>
        </w:rPr>
        <w:t xml:space="preserve"> ha publicado una nueva versión</w:t>
      </w:r>
      <w:r w:rsidR="005E659B">
        <w:rPr>
          <w:lang w:val="es-ES_tradnl"/>
        </w:rPr>
        <w:t xml:space="preserve"> de este compendio</w:t>
      </w:r>
      <w:r w:rsidR="00D262A1">
        <w:rPr>
          <w:lang w:val="es-ES_tradnl"/>
        </w:rPr>
        <w:t xml:space="preserve">, señalando </w:t>
      </w:r>
      <w:r w:rsidR="00611247">
        <w:rPr>
          <w:lang w:val="es-ES_tradnl"/>
        </w:rPr>
        <w:t>a continuación</w:t>
      </w:r>
      <w:r w:rsidR="00887A53">
        <w:rPr>
          <w:lang w:val="es-ES_tradnl"/>
        </w:rPr>
        <w:t xml:space="preserve"> </w:t>
      </w:r>
      <w:r w:rsidR="00467C2F" w:rsidRPr="00467C2F">
        <w:t xml:space="preserve">los principales cambios </w:t>
      </w:r>
      <w:r w:rsidR="00611247">
        <w:t xml:space="preserve">realizados a las cláusulas </w:t>
      </w:r>
      <w:r w:rsidR="00467C2F" w:rsidRPr="00467C2F">
        <w:t xml:space="preserve">de INCOTERMS, </w:t>
      </w:r>
      <w:r w:rsidR="003D4564">
        <w:t xml:space="preserve">que </w:t>
      </w:r>
      <w:r w:rsidR="00467C2F" w:rsidRPr="00467C2F">
        <w:t>entraron en vig</w:t>
      </w:r>
      <w:r w:rsidR="003D4564">
        <w:t>encia</w:t>
      </w:r>
      <w:r w:rsidR="0080175F">
        <w:t xml:space="preserve"> a partir d</w:t>
      </w:r>
      <w:r w:rsidR="00CD3F09">
        <w:t>el 1 de enero de 2020</w:t>
      </w:r>
      <w:r w:rsidR="00CD3F09" w:rsidRPr="00CD3F09">
        <w:rPr>
          <w:lang w:val="es-ES_tradnl"/>
        </w:rPr>
        <w:t>:</w:t>
      </w:r>
      <w:r w:rsidR="00CD3F09" w:rsidRPr="00CD3F09">
        <w:t xml:space="preserve"> </w:t>
      </w:r>
    </w:p>
    <w:p w14:paraId="5FFF07E3" w14:textId="77777777" w:rsidR="00CD3F09" w:rsidRPr="00CD3F09" w:rsidRDefault="00CD3F09" w:rsidP="00CD3F09">
      <w:pPr>
        <w:tabs>
          <w:tab w:val="num" w:pos="720"/>
        </w:tabs>
        <w:jc w:val="both"/>
        <w:rPr>
          <w:lang w:val="es-ES_tradnl"/>
        </w:rPr>
      </w:pPr>
      <w:r w:rsidRPr="00CD3F09">
        <w:rPr>
          <w:lang w:val="es-ES_tradnl"/>
        </w:rPr>
        <w:t>1. Desaparece la cláusula DAT (</w:t>
      </w:r>
      <w:proofErr w:type="spellStart"/>
      <w:r w:rsidRPr="00CD3F09">
        <w:rPr>
          <w:lang w:val="es-ES_tradnl"/>
        </w:rPr>
        <w:t>Delivered</w:t>
      </w:r>
      <w:proofErr w:type="spellEnd"/>
      <w:r w:rsidRPr="00CD3F09">
        <w:rPr>
          <w:lang w:val="es-ES_tradnl"/>
        </w:rPr>
        <w:t xml:space="preserve"> at Terminal) o Entrega en Terminal</w:t>
      </w:r>
      <w:r>
        <w:rPr>
          <w:lang w:val="es-ES_tradnl"/>
        </w:rPr>
        <w:t xml:space="preserve">, creándose </w:t>
      </w:r>
      <w:r w:rsidRPr="00CD3F09">
        <w:rPr>
          <w:lang w:val="es-ES_tradnl"/>
        </w:rPr>
        <w:t>la cláusula DPU (</w:t>
      </w:r>
      <w:proofErr w:type="spellStart"/>
      <w:r w:rsidRPr="00CD3F09">
        <w:rPr>
          <w:lang w:val="es-ES_tradnl"/>
        </w:rPr>
        <w:t>Delivered</w:t>
      </w:r>
      <w:proofErr w:type="spellEnd"/>
      <w:r w:rsidRPr="00CD3F09">
        <w:rPr>
          <w:lang w:val="es-ES_tradnl"/>
        </w:rPr>
        <w:t xml:space="preserve"> at place </w:t>
      </w:r>
      <w:proofErr w:type="spellStart"/>
      <w:r w:rsidRPr="00CD3F09">
        <w:rPr>
          <w:lang w:val="es-ES_tradnl"/>
        </w:rPr>
        <w:t>Unloaded</w:t>
      </w:r>
      <w:proofErr w:type="spellEnd"/>
      <w:r w:rsidRPr="00CD3F09">
        <w:rPr>
          <w:lang w:val="es-ES_tradnl"/>
        </w:rPr>
        <w:t>) o Entrega y descarga en lugar acordado, con el objeto de enfatizar que el lugar de destino podría ser cualquier lugar y no solamente un “terminal”. Por lo anterior, la cláusula DAP</w:t>
      </w:r>
      <w:r w:rsidR="005B4C02" w:rsidRPr="005B4C02">
        <w:rPr>
          <w:bCs/>
        </w:rPr>
        <w:t xml:space="preserve"> </w:t>
      </w:r>
      <w:proofErr w:type="spellStart"/>
      <w:r w:rsidR="005B4C02" w:rsidRPr="005B4C02">
        <w:rPr>
          <w:bCs/>
        </w:rPr>
        <w:t>Delivered</w:t>
      </w:r>
      <w:proofErr w:type="spellEnd"/>
      <w:r w:rsidR="005B4C02" w:rsidRPr="005B4C02">
        <w:rPr>
          <w:bCs/>
        </w:rPr>
        <w:t xml:space="preserve"> at Place </w:t>
      </w:r>
      <w:r w:rsidR="005B4C02">
        <w:rPr>
          <w:bCs/>
        </w:rPr>
        <w:t>(</w:t>
      </w:r>
      <w:r w:rsidR="00997193">
        <w:rPr>
          <w:bCs/>
        </w:rPr>
        <w:t>e</w:t>
      </w:r>
      <w:r w:rsidR="005B4C02" w:rsidRPr="005B4C02">
        <w:rPr>
          <w:bCs/>
        </w:rPr>
        <w:t xml:space="preserve">ntregada en </w:t>
      </w:r>
      <w:r w:rsidR="0066070A" w:rsidRPr="005B4C02">
        <w:rPr>
          <w:bCs/>
        </w:rPr>
        <w:t>lugar</w:t>
      </w:r>
      <w:r w:rsidR="0066070A">
        <w:rPr>
          <w:bCs/>
        </w:rPr>
        <w:t>)</w:t>
      </w:r>
      <w:r w:rsidR="0066070A">
        <w:rPr>
          <w:lang w:val="es-ES_tradnl"/>
        </w:rPr>
        <w:t xml:space="preserve"> </w:t>
      </w:r>
      <w:r w:rsidR="0066070A" w:rsidRPr="00CD3F09">
        <w:rPr>
          <w:lang w:val="es-ES_tradnl"/>
        </w:rPr>
        <w:t>será</w:t>
      </w:r>
      <w:r w:rsidRPr="00CD3F09">
        <w:rPr>
          <w:lang w:val="es-ES_tradnl"/>
        </w:rPr>
        <w:t xml:space="preserve"> considerada antes que DPU.</w:t>
      </w:r>
    </w:p>
    <w:p w14:paraId="55DE688E" w14:textId="77777777" w:rsidR="00CD3F09" w:rsidRDefault="00CD3F09" w:rsidP="0092663C">
      <w:pPr>
        <w:tabs>
          <w:tab w:val="num" w:pos="720"/>
        </w:tabs>
        <w:jc w:val="both"/>
        <w:rPr>
          <w:lang w:val="es-ES_tradnl"/>
        </w:rPr>
      </w:pPr>
      <w:r w:rsidRPr="00CD3F09">
        <w:rPr>
          <w:lang w:val="es-ES_tradnl"/>
        </w:rPr>
        <w:t xml:space="preserve">2. </w:t>
      </w:r>
      <w:r w:rsidR="004870AC">
        <w:rPr>
          <w:lang w:val="es-ES_tradnl"/>
        </w:rPr>
        <w:t>Para la cláusula FCA (Free Carrier)</w:t>
      </w:r>
      <w:r w:rsidR="007C230D">
        <w:rPr>
          <w:lang w:val="es-ES_tradnl"/>
        </w:rPr>
        <w:t xml:space="preserve"> o Franco Porteador</w:t>
      </w:r>
      <w:r w:rsidR="004870AC">
        <w:rPr>
          <w:lang w:val="es-ES_tradnl"/>
        </w:rPr>
        <w:t xml:space="preserve">, </w:t>
      </w:r>
      <w:r w:rsidR="004870AC" w:rsidRPr="004870AC">
        <w:rPr>
          <w:lang w:val="es-ES_tradnl"/>
        </w:rPr>
        <w:t>el comprador podrá pedir a la naviera o a su agente que emita el B/L</w:t>
      </w:r>
      <w:r w:rsidR="007C230D">
        <w:rPr>
          <w:lang w:val="es-ES_tradnl"/>
        </w:rPr>
        <w:t>, después de la carga de la mercancía,</w:t>
      </w:r>
      <w:r w:rsidR="004870AC" w:rsidRPr="004870AC">
        <w:rPr>
          <w:lang w:val="es-ES_tradnl"/>
        </w:rPr>
        <w:t xml:space="preserve"> con la anotación “</w:t>
      </w:r>
      <w:proofErr w:type="spellStart"/>
      <w:r w:rsidR="004870AC" w:rsidRPr="004870AC">
        <w:rPr>
          <w:lang w:val="es-ES_tradnl"/>
        </w:rPr>
        <w:t>on</w:t>
      </w:r>
      <w:proofErr w:type="spellEnd"/>
      <w:r w:rsidR="004870AC" w:rsidRPr="004870AC">
        <w:rPr>
          <w:lang w:val="es-ES_tradnl"/>
        </w:rPr>
        <w:t xml:space="preserve"> </w:t>
      </w:r>
      <w:proofErr w:type="spellStart"/>
      <w:r w:rsidR="004870AC" w:rsidRPr="004870AC">
        <w:rPr>
          <w:lang w:val="es-ES_tradnl"/>
        </w:rPr>
        <w:t>board</w:t>
      </w:r>
      <w:proofErr w:type="spellEnd"/>
      <w:r w:rsidR="004870AC" w:rsidRPr="004870AC">
        <w:rPr>
          <w:lang w:val="es-ES_tradnl"/>
        </w:rPr>
        <w:t>”</w:t>
      </w:r>
      <w:r w:rsidR="007C230D">
        <w:rPr>
          <w:lang w:val="es-ES_tradnl"/>
        </w:rPr>
        <w:t xml:space="preserve"> o a bordo,</w:t>
      </w:r>
      <w:r w:rsidR="004870AC" w:rsidRPr="004870AC">
        <w:rPr>
          <w:lang w:val="es-ES_tradnl"/>
        </w:rPr>
        <w:t xml:space="preserve"> para el vendedor</w:t>
      </w:r>
      <w:r w:rsidR="004870AC">
        <w:rPr>
          <w:lang w:val="es-ES_tradnl"/>
        </w:rPr>
        <w:t>, que permita</w:t>
      </w:r>
      <w:r w:rsidR="007C230D">
        <w:rPr>
          <w:lang w:val="es-ES_tradnl"/>
        </w:rPr>
        <w:t xml:space="preserve"> </w:t>
      </w:r>
      <w:r w:rsidRPr="00CD3F09">
        <w:rPr>
          <w:lang w:val="es-ES_tradnl"/>
        </w:rPr>
        <w:t xml:space="preserve">atender los requerimientos de un crédito documentario. </w:t>
      </w:r>
      <w:r w:rsidRPr="00CD3F09">
        <w:rPr>
          <w:lang w:val="es-ES_tradnl"/>
        </w:rPr>
        <w:lastRenderedPageBreak/>
        <w:t>Cuando se vende la mercancía con esta cláusula, para transportarla por vía marítima, la vendedora o compradora, pued</w:t>
      </w:r>
      <w:r w:rsidR="007C230D">
        <w:rPr>
          <w:lang w:val="es-ES_tradnl"/>
        </w:rPr>
        <w:t>e solicitar un B/L con dicha anota</w:t>
      </w:r>
      <w:r w:rsidRPr="00CD3F09">
        <w:rPr>
          <w:lang w:val="es-ES_tradnl"/>
        </w:rPr>
        <w:t>ción. Por su parte, el porteador, al amparo del contrato de transporte, puede estar obligado y facultado a emitir este tipo de B/L, sólo cuando la mercancía se encuentre realmente a bordo.</w:t>
      </w:r>
    </w:p>
    <w:p w14:paraId="505DFF4E" w14:textId="77777777" w:rsidR="002F58DB" w:rsidRDefault="00CD3F09" w:rsidP="00CD3F09">
      <w:pPr>
        <w:tabs>
          <w:tab w:val="num" w:pos="720"/>
        </w:tabs>
        <w:jc w:val="both"/>
        <w:rPr>
          <w:lang w:val="es-ES_tradnl"/>
        </w:rPr>
      </w:pPr>
      <w:r w:rsidRPr="00CD3F09">
        <w:rPr>
          <w:lang w:val="es-ES_tradnl"/>
        </w:rPr>
        <w:t>3. Las cláusulas CIP</w:t>
      </w:r>
      <w:r w:rsidR="00813F1D">
        <w:rPr>
          <w:b/>
          <w:bCs/>
        </w:rPr>
        <w:t xml:space="preserve">,  </w:t>
      </w:r>
      <w:proofErr w:type="spellStart"/>
      <w:r w:rsidR="00813F1D" w:rsidRPr="00813F1D">
        <w:rPr>
          <w:bCs/>
        </w:rPr>
        <w:t>Carriage</w:t>
      </w:r>
      <w:proofErr w:type="spellEnd"/>
      <w:r w:rsidR="00813F1D" w:rsidRPr="00813F1D">
        <w:rPr>
          <w:bCs/>
        </w:rPr>
        <w:t xml:space="preserve"> and </w:t>
      </w:r>
      <w:proofErr w:type="spellStart"/>
      <w:r w:rsidR="00813F1D" w:rsidRPr="00813F1D">
        <w:rPr>
          <w:bCs/>
        </w:rPr>
        <w:t>Insurance</w:t>
      </w:r>
      <w:proofErr w:type="spellEnd"/>
      <w:r w:rsidR="00813F1D" w:rsidRPr="00813F1D">
        <w:rPr>
          <w:bCs/>
        </w:rPr>
        <w:t xml:space="preserve"> </w:t>
      </w:r>
      <w:proofErr w:type="spellStart"/>
      <w:r w:rsidR="00813F1D" w:rsidRPr="00813F1D">
        <w:rPr>
          <w:bCs/>
        </w:rPr>
        <w:t>Paid</w:t>
      </w:r>
      <w:proofErr w:type="spellEnd"/>
      <w:r w:rsidR="00813F1D" w:rsidRPr="00813F1D">
        <w:rPr>
          <w:bCs/>
        </w:rPr>
        <w:t xml:space="preserve"> </w:t>
      </w:r>
      <w:proofErr w:type="spellStart"/>
      <w:r w:rsidR="00813F1D" w:rsidRPr="00813F1D">
        <w:rPr>
          <w:bCs/>
        </w:rPr>
        <w:t>To</w:t>
      </w:r>
      <w:proofErr w:type="spellEnd"/>
      <w:r w:rsidR="00813F1D">
        <w:rPr>
          <w:bCs/>
        </w:rPr>
        <w:t xml:space="preserve"> (t</w:t>
      </w:r>
      <w:r w:rsidR="00813F1D" w:rsidRPr="00813F1D">
        <w:rPr>
          <w:bCs/>
        </w:rPr>
        <w:t>ransporte y Seguro pagados hasta</w:t>
      </w:r>
      <w:r w:rsidR="00813F1D">
        <w:rPr>
          <w:bCs/>
        </w:rPr>
        <w:t>)</w:t>
      </w:r>
      <w:r w:rsidR="00813F1D" w:rsidRPr="00813F1D">
        <w:rPr>
          <w:bCs/>
        </w:rPr>
        <w:t xml:space="preserve"> </w:t>
      </w:r>
      <w:r w:rsidRPr="00CD3F09">
        <w:rPr>
          <w:lang w:val="es-ES_tradnl"/>
        </w:rPr>
        <w:t>y CIF</w:t>
      </w:r>
      <w:r w:rsidR="00813F1D">
        <w:rPr>
          <w:lang w:val="es-ES_tradnl"/>
        </w:rPr>
        <w:t>,</w:t>
      </w:r>
      <w:r w:rsidRPr="00CD3F09">
        <w:rPr>
          <w:lang w:val="es-ES_tradnl"/>
        </w:rPr>
        <w:t xml:space="preserve"> </w:t>
      </w:r>
      <w:proofErr w:type="spellStart"/>
      <w:r w:rsidR="00813F1D" w:rsidRPr="00813F1D">
        <w:rPr>
          <w:bCs/>
        </w:rPr>
        <w:t>Cost</w:t>
      </w:r>
      <w:proofErr w:type="spellEnd"/>
      <w:r w:rsidR="00813F1D" w:rsidRPr="00813F1D">
        <w:rPr>
          <w:bCs/>
        </w:rPr>
        <w:t xml:space="preserve">, </w:t>
      </w:r>
      <w:proofErr w:type="spellStart"/>
      <w:r w:rsidR="00813F1D" w:rsidRPr="00813F1D">
        <w:rPr>
          <w:bCs/>
        </w:rPr>
        <w:t>Insurance</w:t>
      </w:r>
      <w:proofErr w:type="spellEnd"/>
      <w:r w:rsidR="00813F1D" w:rsidRPr="00813F1D">
        <w:rPr>
          <w:bCs/>
        </w:rPr>
        <w:t xml:space="preserve"> and </w:t>
      </w:r>
      <w:proofErr w:type="spellStart"/>
      <w:r w:rsidR="00813F1D" w:rsidRPr="00813F1D">
        <w:rPr>
          <w:bCs/>
        </w:rPr>
        <w:t>Freight</w:t>
      </w:r>
      <w:proofErr w:type="spellEnd"/>
      <w:r w:rsidR="00813F1D">
        <w:rPr>
          <w:bCs/>
        </w:rPr>
        <w:t xml:space="preserve">, </w:t>
      </w:r>
      <w:r w:rsidR="00813F1D" w:rsidRPr="00813F1D">
        <w:rPr>
          <w:bCs/>
        </w:rPr>
        <w:t>Coste, Seguro y Flete</w:t>
      </w:r>
      <w:r w:rsidR="00813F1D">
        <w:rPr>
          <w:bCs/>
        </w:rPr>
        <w:t xml:space="preserve"> (lugar </w:t>
      </w:r>
      <w:r w:rsidR="00813F1D" w:rsidRPr="00813F1D">
        <w:rPr>
          <w:bCs/>
        </w:rPr>
        <w:t>de entrega acordado</w:t>
      </w:r>
      <w:r w:rsidR="00813F1D">
        <w:rPr>
          <w:b/>
          <w:bCs/>
        </w:rPr>
        <w:t>),</w:t>
      </w:r>
      <w:r w:rsidR="00813F1D" w:rsidRPr="00813F1D">
        <w:rPr>
          <w:b/>
          <w:bCs/>
        </w:rPr>
        <w:t xml:space="preserve"> </w:t>
      </w:r>
      <w:r w:rsidRPr="00CD3F09">
        <w:rPr>
          <w:lang w:val="es-ES_tradnl"/>
        </w:rPr>
        <w:t>se actualizan a nivel de seguro, estableciendo nuevos acuerdos a nivel de diferentes coberturas mínimas, esto es, para la cláusula CIP queda a disposición del comprador o vendedor establecer un nivel inferior de cobertura de seguro y en el caso de una operación con cláusula CIF queda en negociación entre comprador y vendedor, acordar una cobertura superior de seguro.</w:t>
      </w:r>
    </w:p>
    <w:p w14:paraId="41182682" w14:textId="77777777" w:rsidR="00CD3F09" w:rsidRDefault="00CD3F09" w:rsidP="00CD3F09">
      <w:pPr>
        <w:tabs>
          <w:tab w:val="num" w:pos="720"/>
        </w:tabs>
        <w:jc w:val="both"/>
        <w:rPr>
          <w:lang w:val="es-ES_tradnl"/>
        </w:rPr>
      </w:pPr>
      <w:r w:rsidRPr="00CD3F09">
        <w:rPr>
          <w:lang w:val="es-ES_tradnl"/>
        </w:rPr>
        <w:t>4. Las cláusulas FCA, DAP y DPU, tienen en común que el comprador y el vendedor, pueden realizar el transporte de la mercancía por su propia cuenta y con sus propios medios, sin necesidad de contar con un tercero (porteador).</w:t>
      </w:r>
    </w:p>
    <w:p w14:paraId="568A1487" w14:textId="77777777" w:rsidR="000F5A60" w:rsidRPr="000F5A60" w:rsidRDefault="00C74A24" w:rsidP="000F5A60">
      <w:pPr>
        <w:tabs>
          <w:tab w:val="num" w:pos="720"/>
        </w:tabs>
        <w:jc w:val="both"/>
      </w:pPr>
      <w:r>
        <w:t xml:space="preserve">5. </w:t>
      </w:r>
      <w:r w:rsidR="000F5A60" w:rsidRPr="000F5A60">
        <w:t>Finalmente, las obligaciones asociadas a la seguridad en el transporte de la mercancía, cobran relevancia, en cada regla INCOTERM 2020.</w:t>
      </w:r>
    </w:p>
    <w:p w14:paraId="0A426DF1" w14:textId="77777777" w:rsidR="003F52A9" w:rsidRDefault="003D4564" w:rsidP="003D4564">
      <w:pPr>
        <w:tabs>
          <w:tab w:val="num" w:pos="720"/>
        </w:tabs>
        <w:jc w:val="both"/>
        <w:rPr>
          <w:bCs/>
        </w:rPr>
      </w:pPr>
      <w:r>
        <w:rPr>
          <w:lang w:val="es-ES_tradnl"/>
        </w:rPr>
        <w:t xml:space="preserve">                                                                           </w:t>
      </w:r>
      <w:r w:rsidRPr="003D4564">
        <w:rPr>
          <w:lang w:val="es-ES_tradnl"/>
        </w:rPr>
        <w:t xml:space="preserve">Que, </w:t>
      </w:r>
      <w:r w:rsidR="00611247">
        <w:rPr>
          <w:lang w:val="es-ES_tradnl"/>
        </w:rPr>
        <w:t>en virtud de</w:t>
      </w:r>
      <w:r w:rsidRPr="003D4564">
        <w:rPr>
          <w:lang w:val="es-ES_tradnl"/>
        </w:rPr>
        <w:t xml:space="preserve"> las</w:t>
      </w:r>
      <w:r w:rsidR="00817D08">
        <w:rPr>
          <w:lang w:val="es-ES_tradnl"/>
        </w:rPr>
        <w:t xml:space="preserve"> nuevas reglas INCOTERMS 2020,</w:t>
      </w:r>
      <w:r w:rsidRPr="003D4564">
        <w:rPr>
          <w:lang w:val="es-ES_tradnl"/>
        </w:rPr>
        <w:t xml:space="preserve"> modificaciones</w:t>
      </w:r>
      <w:r w:rsidR="00997193">
        <w:rPr>
          <w:lang w:val="es-ES_tradnl"/>
        </w:rPr>
        <w:t xml:space="preserve"> señaladas</w:t>
      </w:r>
      <w:r w:rsidRPr="003D4564">
        <w:rPr>
          <w:lang w:val="es-ES_tradnl"/>
        </w:rPr>
        <w:t xml:space="preserve"> en </w:t>
      </w:r>
      <w:r w:rsidR="00817D08">
        <w:rPr>
          <w:lang w:val="es-ES_tradnl"/>
        </w:rPr>
        <w:t xml:space="preserve">términos generales </w:t>
      </w:r>
      <w:r w:rsidR="0066070A">
        <w:rPr>
          <w:lang w:val="es-ES_tradnl"/>
        </w:rPr>
        <w:t xml:space="preserve">precedentemente, </w:t>
      </w:r>
      <w:r w:rsidR="0066070A" w:rsidRPr="003D4564">
        <w:rPr>
          <w:lang w:val="es-ES_tradnl"/>
        </w:rPr>
        <w:t>se</w:t>
      </w:r>
      <w:r w:rsidRPr="003D4564">
        <w:rPr>
          <w:lang w:val="es-ES_tradnl"/>
        </w:rPr>
        <w:t xml:space="preserve"> hace necesario actualizar la </w:t>
      </w:r>
      <w:r w:rsidR="009F3031">
        <w:rPr>
          <w:lang w:val="es-ES_tradnl"/>
        </w:rPr>
        <w:t>T</w:t>
      </w:r>
      <w:r w:rsidRPr="003D4564">
        <w:rPr>
          <w:lang w:val="es-ES_tradnl"/>
        </w:rPr>
        <w:t xml:space="preserve">abla </w:t>
      </w:r>
      <w:r w:rsidR="009F3031">
        <w:rPr>
          <w:lang w:val="es-ES_tradnl"/>
        </w:rPr>
        <w:t xml:space="preserve">de </w:t>
      </w:r>
      <w:r w:rsidRPr="003D4564">
        <w:rPr>
          <w:lang w:val="es-ES_tradnl"/>
        </w:rPr>
        <w:t>Códigos INCOTERMS del Anexo N° 51-21 del</w:t>
      </w:r>
      <w:r>
        <w:rPr>
          <w:lang w:val="es-ES_tradnl"/>
        </w:rPr>
        <w:t xml:space="preserve"> Compendio de Normas Aduaneras</w:t>
      </w:r>
      <w:r w:rsidR="00997193" w:rsidRPr="00997193">
        <w:rPr>
          <w:lang w:val="es-ES_tradnl"/>
        </w:rPr>
        <w:t xml:space="preserve"> sobre Cláusulas de Compraventa,</w:t>
      </w:r>
      <w:r w:rsidR="003F52A9">
        <w:rPr>
          <w:lang w:val="es-ES_tradnl"/>
        </w:rPr>
        <w:t xml:space="preserve"> establecida en</w:t>
      </w:r>
      <w:r w:rsidR="00997193" w:rsidRPr="00997193">
        <w:rPr>
          <w:lang w:val="es-ES_tradnl"/>
        </w:rPr>
        <w:t xml:space="preserve"> la Resolución N° 1.300, de 2006, del Director Nacional de Aduanas</w:t>
      </w:r>
      <w:r>
        <w:rPr>
          <w:lang w:val="es-ES_tradnl"/>
        </w:rPr>
        <w:t>.</w:t>
      </w:r>
      <w:r w:rsidR="00122A43">
        <w:t xml:space="preserve">                                           </w:t>
      </w:r>
      <w:r w:rsidR="00122A43">
        <w:rPr>
          <w:bCs/>
        </w:rPr>
        <w:t xml:space="preserve">                               </w:t>
      </w:r>
    </w:p>
    <w:p w14:paraId="3180636F" w14:textId="77777777" w:rsidR="00D5585E" w:rsidRPr="00F67CCF" w:rsidRDefault="00122A43" w:rsidP="003D4564">
      <w:pPr>
        <w:tabs>
          <w:tab w:val="num" w:pos="720"/>
        </w:tabs>
        <w:jc w:val="both"/>
        <w:rPr>
          <w:lang w:val="es-ES_tradnl"/>
        </w:rPr>
      </w:pPr>
      <w:r>
        <w:rPr>
          <w:bCs/>
        </w:rPr>
        <w:t xml:space="preserve">                                       </w:t>
      </w:r>
    </w:p>
    <w:p w14:paraId="25736B99" w14:textId="77777777" w:rsidR="00383641" w:rsidRDefault="004D7452" w:rsidP="003F52A9">
      <w:pPr>
        <w:jc w:val="both"/>
        <w:rPr>
          <w:b/>
          <w:lang w:val="es-ES_tradnl"/>
        </w:rPr>
      </w:pPr>
      <w:r>
        <w:t xml:space="preserve">   </w:t>
      </w:r>
      <w:r w:rsidR="00D5585E">
        <w:rPr>
          <w:lang w:val="es-ES_tradnl"/>
        </w:rPr>
        <w:t xml:space="preserve">   </w:t>
      </w:r>
      <w:r w:rsidR="00383641">
        <w:rPr>
          <w:lang w:val="es-ES_tradnl"/>
        </w:rPr>
        <w:t xml:space="preserve">                                                          </w:t>
      </w:r>
      <w:r w:rsidR="006A35F7">
        <w:rPr>
          <w:lang w:val="es-ES_tradnl"/>
        </w:rPr>
        <w:t xml:space="preserve">       </w:t>
      </w:r>
      <w:r w:rsidR="00664BC9">
        <w:rPr>
          <w:lang w:val="es-ES_tradnl"/>
        </w:rPr>
        <w:t xml:space="preserve">    </w:t>
      </w:r>
      <w:r w:rsidR="00383641" w:rsidRPr="00383641">
        <w:rPr>
          <w:b/>
          <w:lang w:val="es-ES_tradnl"/>
        </w:rPr>
        <w:t>TENIENDO PRESENTE</w:t>
      </w:r>
      <w:r w:rsidR="003F52A9">
        <w:rPr>
          <w:b/>
          <w:lang w:val="es-ES_tradnl"/>
        </w:rPr>
        <w:t>:</w:t>
      </w:r>
    </w:p>
    <w:p w14:paraId="57F390FE" w14:textId="77777777" w:rsidR="005D6936" w:rsidRDefault="005D6936" w:rsidP="003F52A9">
      <w:pPr>
        <w:ind w:firstLine="3686"/>
        <w:jc w:val="both"/>
        <w:rPr>
          <w:lang w:val="es-ES_tradnl"/>
        </w:rPr>
      </w:pPr>
      <w:r w:rsidRPr="005D6936">
        <w:rPr>
          <w:lang w:val="es-ES_tradnl"/>
        </w:rPr>
        <w:t>Lo dispuesto en el artículo 4°, N° 7, 8 y 29, del Decreto con fuerza de ley N° 329, de 1979, del Ministerio de Hacienda, Ley Orgánica del Servicio Nacional de Aduanas; y, en la Resolución Nº 7 de 2019 de la Contraloría General de la República, sobre exención del trámite de toma de razón, dicto la siguiente</w:t>
      </w:r>
      <w:r>
        <w:rPr>
          <w:lang w:val="es-ES_tradnl"/>
        </w:rPr>
        <w:t>:</w:t>
      </w:r>
    </w:p>
    <w:p w14:paraId="360E33E5" w14:textId="77777777" w:rsidR="00842E01" w:rsidRDefault="005D6936" w:rsidP="00383641">
      <w:pPr>
        <w:jc w:val="both"/>
        <w:rPr>
          <w:b/>
          <w:lang w:val="es-ES_tradnl"/>
        </w:rPr>
      </w:pPr>
      <w:r>
        <w:rPr>
          <w:lang w:val="es-ES_tradnl"/>
        </w:rPr>
        <w:t xml:space="preserve">                  </w:t>
      </w:r>
      <w:r w:rsidR="00383641">
        <w:rPr>
          <w:b/>
          <w:lang w:val="es-ES_tradnl"/>
        </w:rPr>
        <w:t xml:space="preserve">                                                      </w:t>
      </w:r>
    </w:p>
    <w:p w14:paraId="59E9A6F1" w14:textId="77777777" w:rsidR="00383641" w:rsidRDefault="00383641" w:rsidP="003F52A9">
      <w:pPr>
        <w:ind w:firstLine="3686"/>
        <w:rPr>
          <w:b/>
          <w:lang w:val="es-ES_tradnl"/>
        </w:rPr>
      </w:pPr>
      <w:r w:rsidRPr="00383641">
        <w:rPr>
          <w:b/>
          <w:lang w:val="es-ES_tradnl"/>
        </w:rPr>
        <w:t>RESOLUCIÓN:</w:t>
      </w:r>
    </w:p>
    <w:p w14:paraId="73B641B7" w14:textId="77777777" w:rsidR="00105E68" w:rsidRDefault="00105E68" w:rsidP="00105E68">
      <w:pPr>
        <w:jc w:val="both"/>
        <w:rPr>
          <w:rFonts w:cstheme="minorHAnsi"/>
          <w:bCs/>
        </w:rPr>
      </w:pPr>
      <w:r w:rsidRPr="00C74A24">
        <w:rPr>
          <w:rFonts w:cstheme="minorHAnsi"/>
          <w:b/>
          <w:bCs/>
          <w:lang w:val="es-ES_tradnl"/>
        </w:rPr>
        <w:t>1</w:t>
      </w:r>
      <w:r w:rsidRPr="00105E68">
        <w:rPr>
          <w:rFonts w:ascii="Tahoma" w:hAnsi="Tahoma"/>
          <w:b/>
          <w:bCs/>
          <w:lang w:val="es-ES_tradnl"/>
        </w:rPr>
        <w:t xml:space="preserve">. </w:t>
      </w:r>
      <w:r w:rsidRPr="00C74A24">
        <w:rPr>
          <w:rFonts w:cstheme="minorHAnsi"/>
          <w:b/>
          <w:bCs/>
          <w:lang w:val="es-ES_tradnl"/>
        </w:rPr>
        <w:t>SUSTITÚYESE</w:t>
      </w:r>
      <w:r w:rsidRPr="00105E68">
        <w:rPr>
          <w:rFonts w:ascii="Tahoma" w:hAnsi="Tahoma"/>
          <w:b/>
          <w:bCs/>
          <w:lang w:val="es-ES_tradnl"/>
        </w:rPr>
        <w:t xml:space="preserve">, </w:t>
      </w:r>
      <w:r w:rsidRPr="00C74A24">
        <w:rPr>
          <w:rFonts w:cstheme="minorHAnsi"/>
          <w:bCs/>
          <w:lang w:val="es-ES_tradnl"/>
        </w:rPr>
        <w:t>el Anexo N° 51-21 “Cláusulas de Compraventa”, del Compendio de Normas Aduaneras, por</w:t>
      </w:r>
      <w:r w:rsidRPr="00105E68">
        <w:rPr>
          <w:rFonts w:ascii="Tahoma" w:hAnsi="Tahoma"/>
          <w:bCs/>
          <w:lang w:val="es-ES_tradnl"/>
        </w:rPr>
        <w:t xml:space="preserve"> </w:t>
      </w:r>
      <w:r w:rsidRPr="004D01B1">
        <w:rPr>
          <w:rFonts w:cstheme="minorHAnsi"/>
          <w:bCs/>
        </w:rPr>
        <w:t>el siguiente:</w:t>
      </w:r>
    </w:p>
    <w:p w14:paraId="32040557" w14:textId="77777777" w:rsidR="0066070A" w:rsidRDefault="0066070A" w:rsidP="009C6E1C">
      <w:pPr>
        <w:jc w:val="center"/>
        <w:rPr>
          <w:rFonts w:cstheme="minorHAnsi"/>
          <w:bCs/>
        </w:rPr>
      </w:pPr>
    </w:p>
    <w:p w14:paraId="5F4D97D2" w14:textId="77777777" w:rsidR="007C230D" w:rsidRDefault="007C230D" w:rsidP="009C6E1C">
      <w:pPr>
        <w:jc w:val="center"/>
        <w:rPr>
          <w:rFonts w:cstheme="minorHAnsi"/>
          <w:bCs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134"/>
      </w:tblGrid>
      <w:tr w:rsidR="00276FF2" w:rsidRPr="00276FF2" w14:paraId="459D1ED0" w14:textId="77777777" w:rsidTr="009276D3">
        <w:trPr>
          <w:trHeight w:val="7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C63C7D" w14:textId="77777777" w:rsidR="00276FF2" w:rsidRPr="009276D3" w:rsidRDefault="00276FF2" w:rsidP="009C6E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9276D3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lastRenderedPageBreak/>
              <w:t>CLÁUSULA DE COMPRAVENTA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0B6226" w14:textId="77777777" w:rsidR="00276FF2" w:rsidRPr="009276D3" w:rsidRDefault="00276FF2" w:rsidP="00276F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9276D3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>SIGLA A INDICAR EN DECLARACIÓN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C12460" w14:textId="77777777" w:rsidR="00276FF2" w:rsidRPr="009276D3" w:rsidRDefault="00276FF2" w:rsidP="00276F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9276D3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>CÓDIGO</w:t>
            </w:r>
          </w:p>
        </w:tc>
      </w:tr>
      <w:tr w:rsidR="00276FF2" w:rsidRPr="00276FF2" w14:paraId="1D2C895A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E449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COSTOS, SEGURO Y FLETE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8C61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2022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</w:t>
            </w:r>
          </w:p>
        </w:tc>
      </w:tr>
      <w:tr w:rsidR="00276FF2" w:rsidRPr="00276FF2" w14:paraId="49061A29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509E02BB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COSTOS Y FLETE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58DBB33F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7F7866A1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2</w:t>
            </w:r>
          </w:p>
        </w:tc>
      </w:tr>
      <w:tr w:rsidR="00276FF2" w:rsidRPr="00276FF2" w14:paraId="6CEF715F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717D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EN FÁBRICA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6CAC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EXW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FF64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3</w:t>
            </w:r>
          </w:p>
        </w:tc>
      </w:tr>
      <w:tr w:rsidR="00276FF2" w:rsidRPr="00276FF2" w14:paraId="57ABDD35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38DD45BE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FRANCO AL COSTADO DEL BUQUE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1BC96A29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18FA5C19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4</w:t>
            </w:r>
          </w:p>
        </w:tc>
      </w:tr>
      <w:tr w:rsidR="00276FF2" w:rsidRPr="00276FF2" w14:paraId="644445AC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27F2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FRANCO A BORDO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6C1F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A8D2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5</w:t>
            </w:r>
          </w:p>
        </w:tc>
      </w:tr>
      <w:tr w:rsidR="00276FF2" w:rsidRPr="00276FF2" w14:paraId="577F7EE7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2A31B8F8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SIN CLÁUSULA DE COMPRAVENTA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5091C1A2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S/CL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02BE3EE5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6</w:t>
            </w:r>
          </w:p>
        </w:tc>
      </w:tr>
      <w:tr w:rsidR="00276FF2" w:rsidRPr="00276FF2" w14:paraId="40EC38CE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4819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ENTREGADAS DERECHOS PAGADOS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D24E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DDP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D166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9</w:t>
            </w:r>
          </w:p>
        </w:tc>
      </w:tr>
      <w:tr w:rsidR="00276FF2" w:rsidRPr="00276FF2" w14:paraId="28EA1355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414C0F54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FRANCO TRANSPORTISTA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1DF4D0DA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FCA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53FCEBAC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10</w:t>
            </w:r>
          </w:p>
        </w:tc>
      </w:tr>
      <w:tr w:rsidR="00276FF2" w:rsidRPr="00276FF2" w14:paraId="72B8C5FB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624C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TRANSPORTE PAGADO HASTA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BCD9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B65C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11</w:t>
            </w:r>
          </w:p>
        </w:tc>
      </w:tr>
      <w:tr w:rsidR="00276FF2" w:rsidRPr="00276FF2" w14:paraId="40A77589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359010DD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TRANSPORTE Y SEGURO PAGADO HASTA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72E3D0AA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CIP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28C8F68E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12</w:t>
            </w:r>
          </w:p>
        </w:tc>
      </w:tr>
      <w:tr w:rsidR="00276FF2" w:rsidRPr="00276FF2" w14:paraId="3E8C04DA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DB56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ENTREGADAS EN LUGAR DESCARGADO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78E4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DPU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8609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17</w:t>
            </w:r>
          </w:p>
        </w:tc>
      </w:tr>
      <w:tr w:rsidR="00276FF2" w:rsidRPr="00276FF2" w14:paraId="234AA592" w14:textId="77777777" w:rsidTr="009276D3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1CA2E328" w14:textId="77777777" w:rsidR="00276FF2" w:rsidRPr="009276D3" w:rsidRDefault="00276FF2" w:rsidP="00276F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ENTREGADAS EN LUGAR CONVENIDO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2FF145B5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DAP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F4"/>
            <w:vAlign w:val="center"/>
            <w:hideMark/>
          </w:tcPr>
          <w:p w14:paraId="560BF1DE" w14:textId="77777777" w:rsidR="00276FF2" w:rsidRPr="009276D3" w:rsidRDefault="00276FF2" w:rsidP="009C6E1C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9276D3">
              <w:rPr>
                <w:rFonts w:eastAsia="Times New Roman" w:cs="Times New Roman"/>
                <w:sz w:val="20"/>
                <w:szCs w:val="20"/>
                <w:lang w:eastAsia="es-CL"/>
              </w:rPr>
              <w:t>18</w:t>
            </w:r>
          </w:p>
        </w:tc>
      </w:tr>
    </w:tbl>
    <w:p w14:paraId="01BE964E" w14:textId="77777777" w:rsidR="00DF0CBC" w:rsidRPr="00DF0CBC" w:rsidRDefault="00DF0CBC" w:rsidP="00842E01">
      <w:pPr>
        <w:spacing w:after="0"/>
        <w:jc w:val="both"/>
        <w:rPr>
          <w:b/>
          <w:bCs/>
        </w:rPr>
      </w:pPr>
      <w:r w:rsidRPr="00DF0CBC">
        <w:rPr>
          <w:b/>
          <w:bCs/>
        </w:rPr>
        <w:t xml:space="preserve">                                </w:t>
      </w:r>
    </w:p>
    <w:p w14:paraId="0798CDA9" w14:textId="77777777" w:rsidR="00664BC9" w:rsidRPr="00887A53" w:rsidRDefault="003B4839" w:rsidP="009E59F2">
      <w:pPr>
        <w:spacing w:after="0"/>
        <w:ind w:left="426"/>
        <w:jc w:val="both"/>
        <w:rPr>
          <w:bCs/>
        </w:rPr>
      </w:pPr>
      <w:r w:rsidRPr="003B4839">
        <w:rPr>
          <w:b/>
          <w:bCs/>
        </w:rPr>
        <w:t xml:space="preserve">         </w:t>
      </w:r>
    </w:p>
    <w:p w14:paraId="0C167D07" w14:textId="77777777" w:rsidR="009276D3" w:rsidRPr="009276D3" w:rsidRDefault="00655548" w:rsidP="009276D3">
      <w:pPr>
        <w:pStyle w:val="Textosinformato"/>
        <w:jc w:val="both"/>
        <w:rPr>
          <w:rFonts w:asciiTheme="minorHAnsi" w:eastAsiaTheme="minorHAnsi" w:hAnsiTheme="minorHAnsi" w:cstheme="minorBidi"/>
          <w:bCs/>
          <w:sz w:val="22"/>
          <w:szCs w:val="22"/>
          <w:lang w:val="es-ES_tradnl" w:eastAsia="en-US"/>
        </w:rPr>
      </w:pPr>
      <w:r w:rsidRPr="009276D3">
        <w:rPr>
          <w:rFonts w:asciiTheme="minorHAnsi" w:eastAsiaTheme="minorHAnsi" w:hAnsiTheme="minorHAnsi" w:cstheme="minorBidi"/>
          <w:bCs/>
          <w:sz w:val="22"/>
          <w:szCs w:val="22"/>
          <w:lang w:val="es-ES_tradnl" w:eastAsia="en-US"/>
        </w:rPr>
        <w:t>2</w:t>
      </w:r>
      <w:r w:rsidR="009276D3" w:rsidRPr="009276D3">
        <w:rPr>
          <w:rFonts w:asciiTheme="minorHAnsi" w:eastAsiaTheme="minorHAnsi" w:hAnsiTheme="minorHAnsi" w:cstheme="minorBidi"/>
          <w:bCs/>
          <w:sz w:val="22"/>
          <w:szCs w:val="22"/>
          <w:lang w:val="es-ES_tradnl" w:eastAsia="en-US"/>
        </w:rPr>
        <w:t>. Como consecuencia de la referida modificación, sustitúyanse e incorpórense las hojas pertinentes del Compendio de Normas Aduaneras, por las que se adjuntan a la presente resolución.</w:t>
      </w:r>
    </w:p>
    <w:p w14:paraId="55C73B97" w14:textId="77777777" w:rsidR="00655548" w:rsidRDefault="00655548" w:rsidP="00655548">
      <w:pPr>
        <w:spacing w:after="0"/>
        <w:jc w:val="both"/>
        <w:rPr>
          <w:bCs/>
          <w:lang w:val="es-ES_tradnl"/>
        </w:rPr>
      </w:pPr>
    </w:p>
    <w:p w14:paraId="5745FA6E" w14:textId="77777777" w:rsidR="009E59F2" w:rsidRPr="00655548" w:rsidRDefault="009E59F2" w:rsidP="00655548">
      <w:pPr>
        <w:spacing w:after="0"/>
        <w:jc w:val="both"/>
        <w:rPr>
          <w:bCs/>
          <w:lang w:val="es-ES_tradnl"/>
        </w:rPr>
      </w:pPr>
    </w:p>
    <w:p w14:paraId="32A53A75" w14:textId="77777777" w:rsidR="00655548" w:rsidRPr="00655548" w:rsidRDefault="00655548" w:rsidP="00655548">
      <w:pPr>
        <w:spacing w:after="0"/>
        <w:jc w:val="both"/>
        <w:rPr>
          <w:bCs/>
          <w:lang w:val="es-ES_tradnl"/>
        </w:rPr>
      </w:pPr>
      <w:r w:rsidRPr="00422D7F">
        <w:rPr>
          <w:b/>
          <w:bCs/>
          <w:lang w:val="es-ES_tradnl"/>
        </w:rPr>
        <w:t>3</w:t>
      </w:r>
      <w:r w:rsidRPr="00655548">
        <w:rPr>
          <w:bCs/>
          <w:lang w:val="es-ES_tradnl"/>
        </w:rPr>
        <w:t xml:space="preserve">. La presente resolución fue objeto del procedimiento de “Publicación </w:t>
      </w:r>
      <w:r w:rsidR="00C815A1">
        <w:rPr>
          <w:bCs/>
          <w:lang w:val="es-ES_tradnl"/>
        </w:rPr>
        <w:t>Anticipada” entre los días XX.05.2020 y XX.05</w:t>
      </w:r>
      <w:r w:rsidRPr="00655548">
        <w:rPr>
          <w:bCs/>
          <w:lang w:val="es-ES_tradnl"/>
        </w:rPr>
        <w:t>.2020.</w:t>
      </w:r>
    </w:p>
    <w:p w14:paraId="07C074F2" w14:textId="77777777" w:rsidR="00655548" w:rsidRDefault="00655548" w:rsidP="00655548">
      <w:pPr>
        <w:spacing w:after="0"/>
        <w:jc w:val="both"/>
        <w:rPr>
          <w:bCs/>
          <w:lang w:val="es-ES_tradnl"/>
        </w:rPr>
      </w:pPr>
    </w:p>
    <w:p w14:paraId="7D53249A" w14:textId="77777777" w:rsidR="009E59F2" w:rsidRPr="00655548" w:rsidRDefault="009E59F2" w:rsidP="00655548">
      <w:pPr>
        <w:spacing w:after="0"/>
        <w:jc w:val="both"/>
        <w:rPr>
          <w:bCs/>
          <w:lang w:val="es-ES_tradnl"/>
        </w:rPr>
      </w:pPr>
    </w:p>
    <w:p w14:paraId="79B02D17" w14:textId="77777777" w:rsidR="00655548" w:rsidRDefault="00655548" w:rsidP="00655548">
      <w:pPr>
        <w:spacing w:after="0"/>
        <w:jc w:val="both"/>
        <w:rPr>
          <w:bCs/>
          <w:lang w:val="es-ES_tradnl"/>
        </w:rPr>
      </w:pPr>
      <w:r w:rsidRPr="00422D7F">
        <w:rPr>
          <w:b/>
          <w:bCs/>
          <w:lang w:val="es-ES_tradnl"/>
        </w:rPr>
        <w:t>4.</w:t>
      </w:r>
      <w:r w:rsidRPr="00655548">
        <w:rPr>
          <w:bCs/>
          <w:lang w:val="es-ES_tradnl"/>
        </w:rPr>
        <w:t xml:space="preserve"> La presente resolución entrará en vigencia desde la fecha de su publicación en extracto en el Diario Oficial.</w:t>
      </w:r>
    </w:p>
    <w:p w14:paraId="76BEC303" w14:textId="77777777" w:rsidR="00F95666" w:rsidRDefault="00F95666" w:rsidP="00655548">
      <w:pPr>
        <w:spacing w:after="0"/>
        <w:jc w:val="both"/>
        <w:rPr>
          <w:bCs/>
          <w:lang w:val="es-ES_tradnl"/>
        </w:rPr>
      </w:pPr>
    </w:p>
    <w:p w14:paraId="0F4C4D71" w14:textId="77777777" w:rsidR="001306AA" w:rsidRPr="00C83EDF" w:rsidRDefault="001306AA" w:rsidP="00F25BB4">
      <w:pPr>
        <w:spacing w:after="0"/>
        <w:jc w:val="both"/>
        <w:rPr>
          <w:b/>
          <w:bCs/>
        </w:rPr>
      </w:pPr>
    </w:p>
    <w:p w14:paraId="7D43AB8F" w14:textId="77777777" w:rsidR="006040A0" w:rsidRPr="001C73E7" w:rsidRDefault="00C83EDF" w:rsidP="00A51527">
      <w:pPr>
        <w:spacing w:after="0"/>
        <w:jc w:val="both"/>
        <w:rPr>
          <w:bCs/>
        </w:rPr>
      </w:pPr>
      <w:r w:rsidRPr="00C83EDF">
        <w:rPr>
          <w:b/>
          <w:bCs/>
          <w:lang w:val="es-ES_tradnl"/>
        </w:rPr>
        <w:t>ANÓTESE, COMUNÍQUESE Y PUBLÍQUESE EN EXTRACTO EN EL DIARIO OFICIAL E ÍNTEGRAMENTE EN LA PÁGINA WEB DEL SERVICIO.</w:t>
      </w:r>
      <w:r w:rsidRPr="00C83EDF" w:rsidDel="00C60E10">
        <w:rPr>
          <w:b/>
          <w:bCs/>
          <w:lang w:val="es-ES_tradnl"/>
        </w:rPr>
        <w:t xml:space="preserve"> </w:t>
      </w:r>
    </w:p>
    <w:sectPr w:rsidR="006040A0" w:rsidRPr="001C73E7" w:rsidSect="00842E01">
      <w:headerReference w:type="default" r:id="rId8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2E625" w14:textId="77777777" w:rsidR="00A87D1D" w:rsidRDefault="00A87D1D" w:rsidP="00D22027">
      <w:pPr>
        <w:spacing w:after="0" w:line="240" w:lineRule="auto"/>
      </w:pPr>
      <w:r>
        <w:separator/>
      </w:r>
    </w:p>
  </w:endnote>
  <w:endnote w:type="continuationSeparator" w:id="0">
    <w:p w14:paraId="4F7CE6F7" w14:textId="77777777" w:rsidR="00A87D1D" w:rsidRDefault="00A87D1D" w:rsidP="00D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8C95" w14:textId="77777777" w:rsidR="00A87D1D" w:rsidRDefault="00A87D1D" w:rsidP="00D22027">
      <w:pPr>
        <w:spacing w:after="0" w:line="240" w:lineRule="auto"/>
      </w:pPr>
      <w:r>
        <w:separator/>
      </w:r>
    </w:p>
  </w:footnote>
  <w:footnote w:type="continuationSeparator" w:id="0">
    <w:p w14:paraId="3A0AC56C" w14:textId="77777777" w:rsidR="00A87D1D" w:rsidRDefault="00A87D1D" w:rsidP="00D2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CB4F" w14:textId="77777777" w:rsidR="00364031" w:rsidRPr="00364031" w:rsidRDefault="00364031" w:rsidP="00364031">
    <w:pPr>
      <w:pStyle w:val="Encabezado"/>
      <w:rPr>
        <w:b/>
        <w:sz w:val="16"/>
        <w:szCs w:val="16"/>
        <w:lang w:val="es-ES"/>
      </w:rPr>
    </w:pPr>
    <w:r w:rsidRPr="00364031">
      <w:rPr>
        <w:rFonts w:ascii="Calibri" w:eastAsia="Calibri" w:hAnsi="Calibri" w:cs="Times New Roman"/>
        <w:noProof/>
        <w:sz w:val="24"/>
        <w:szCs w:val="24"/>
        <w:lang w:eastAsia="es-CL"/>
      </w:rPr>
      <w:drawing>
        <wp:inline distT="0" distB="0" distL="0" distR="0" wp14:anchorId="2EEFF276" wp14:editId="46355230">
          <wp:extent cx="543697" cy="560070"/>
          <wp:effectExtent l="0" t="0" r="8890" b="0"/>
          <wp:docPr id="11" name="Imagen 11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48" cy="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4031">
      <w:rPr>
        <w:rFonts w:ascii="Tahoma" w:hAnsi="Tahoma" w:cs="Tahoma"/>
        <w:b/>
        <w:color w:val="000000" w:themeColor="text1"/>
        <w:sz w:val="16"/>
        <w:szCs w:val="24"/>
        <w:lang w:val="es-ES"/>
      </w:rPr>
      <w:t xml:space="preserve"> </w:t>
    </w:r>
    <w:r w:rsidRPr="00364031">
      <w:rPr>
        <w:b/>
        <w:sz w:val="16"/>
        <w:szCs w:val="16"/>
        <w:lang w:val="es-ES"/>
      </w:rPr>
      <w:t>Servicio Nacional de Aduanas</w:t>
    </w:r>
  </w:p>
  <w:p w14:paraId="7D118ACF" w14:textId="77777777" w:rsidR="00364031" w:rsidRPr="00364031" w:rsidRDefault="00364031" w:rsidP="00364031">
    <w:pPr>
      <w:pStyle w:val="Encabezado"/>
      <w:rPr>
        <w:sz w:val="16"/>
        <w:szCs w:val="16"/>
        <w:lang w:val="es-ES"/>
      </w:rPr>
    </w:pPr>
    <w:r w:rsidRPr="00364031">
      <w:rPr>
        <w:sz w:val="16"/>
        <w:szCs w:val="16"/>
        <w:lang w:val="es-ES"/>
      </w:rPr>
      <w:t xml:space="preserve">                     </w:t>
    </w:r>
    <w:r>
      <w:rPr>
        <w:sz w:val="16"/>
        <w:szCs w:val="16"/>
        <w:lang w:val="es-ES"/>
      </w:rPr>
      <w:t xml:space="preserve">     </w:t>
    </w:r>
    <w:r w:rsidRPr="00364031">
      <w:rPr>
        <w:sz w:val="16"/>
        <w:szCs w:val="16"/>
        <w:lang w:val="es-ES"/>
      </w:rPr>
      <w:t>Dirección Nacional</w:t>
    </w:r>
    <w:r w:rsidRPr="00364031">
      <w:rPr>
        <w:sz w:val="16"/>
        <w:szCs w:val="16"/>
        <w:lang w:val="es-ES"/>
      </w:rPr>
      <w:br/>
      <w:t xml:space="preserve">                     </w:t>
    </w:r>
    <w:r>
      <w:rPr>
        <w:sz w:val="16"/>
        <w:szCs w:val="16"/>
        <w:lang w:val="es-ES"/>
      </w:rPr>
      <w:t xml:space="preserve">     </w:t>
    </w:r>
    <w:r w:rsidRPr="00364031">
      <w:rPr>
        <w:sz w:val="16"/>
        <w:szCs w:val="16"/>
        <w:lang w:val="es-ES"/>
      </w:rPr>
      <w:t>Subdirección Técnica</w:t>
    </w:r>
  </w:p>
  <w:p w14:paraId="250723BB" w14:textId="77777777" w:rsidR="00364031" w:rsidRPr="00364031" w:rsidRDefault="00364031" w:rsidP="00364031">
    <w:pPr>
      <w:pStyle w:val="Encabezado"/>
    </w:pPr>
    <w:r w:rsidRPr="00364031">
      <w:rPr>
        <w:sz w:val="16"/>
        <w:szCs w:val="16"/>
        <w:lang w:val="es-ES"/>
      </w:rPr>
      <w:t xml:space="preserve">                     </w:t>
    </w:r>
    <w:r>
      <w:rPr>
        <w:sz w:val="16"/>
        <w:szCs w:val="16"/>
        <w:lang w:val="es-ES"/>
      </w:rPr>
      <w:t xml:space="preserve">     </w:t>
    </w:r>
    <w:r w:rsidRPr="00364031">
      <w:rPr>
        <w:sz w:val="16"/>
        <w:szCs w:val="16"/>
        <w:lang w:val="es-ES"/>
      </w:rPr>
      <w:t>Departamento de Valoración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1FC"/>
    <w:multiLevelType w:val="multilevel"/>
    <w:tmpl w:val="D9E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34F6"/>
    <w:multiLevelType w:val="multilevel"/>
    <w:tmpl w:val="1EE0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68CF"/>
    <w:multiLevelType w:val="multilevel"/>
    <w:tmpl w:val="4CCC97AA"/>
    <w:lvl w:ilvl="0">
      <w:start w:val="1"/>
      <w:numFmt w:val="decimal"/>
      <w:lvlText w:val="%1."/>
      <w:lvlJc w:val="left"/>
      <w:pPr>
        <w:ind w:left="45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1BD74A1B"/>
    <w:multiLevelType w:val="multilevel"/>
    <w:tmpl w:val="65EC9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406D"/>
    <w:multiLevelType w:val="multilevel"/>
    <w:tmpl w:val="8A3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81721"/>
    <w:multiLevelType w:val="hybridMultilevel"/>
    <w:tmpl w:val="7CF8DC0A"/>
    <w:lvl w:ilvl="0" w:tplc="272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60B"/>
    <w:multiLevelType w:val="multilevel"/>
    <w:tmpl w:val="70A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A73F6"/>
    <w:multiLevelType w:val="multilevel"/>
    <w:tmpl w:val="D98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64DB2"/>
    <w:multiLevelType w:val="multilevel"/>
    <w:tmpl w:val="C93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96334"/>
    <w:multiLevelType w:val="multilevel"/>
    <w:tmpl w:val="19DA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16CDB"/>
    <w:multiLevelType w:val="multilevel"/>
    <w:tmpl w:val="D8D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84C5C"/>
    <w:multiLevelType w:val="multilevel"/>
    <w:tmpl w:val="8744D8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1942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04611"/>
    <w:multiLevelType w:val="multilevel"/>
    <w:tmpl w:val="5C5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547D7"/>
    <w:multiLevelType w:val="multilevel"/>
    <w:tmpl w:val="9C2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F7C2D"/>
    <w:multiLevelType w:val="multilevel"/>
    <w:tmpl w:val="39D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E0624E"/>
    <w:multiLevelType w:val="multilevel"/>
    <w:tmpl w:val="3C5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154F46"/>
    <w:multiLevelType w:val="multilevel"/>
    <w:tmpl w:val="F986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34442"/>
    <w:multiLevelType w:val="multilevel"/>
    <w:tmpl w:val="A7D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85BCA"/>
    <w:multiLevelType w:val="multilevel"/>
    <w:tmpl w:val="598C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00A2F"/>
    <w:multiLevelType w:val="multilevel"/>
    <w:tmpl w:val="A66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85D43"/>
    <w:multiLevelType w:val="multilevel"/>
    <w:tmpl w:val="29F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AF226D"/>
    <w:multiLevelType w:val="multilevel"/>
    <w:tmpl w:val="C9C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855B2"/>
    <w:multiLevelType w:val="multilevel"/>
    <w:tmpl w:val="9AFAF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43BE4"/>
    <w:multiLevelType w:val="multilevel"/>
    <w:tmpl w:val="C62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43BE8"/>
    <w:multiLevelType w:val="multilevel"/>
    <w:tmpl w:val="08F2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C4C50"/>
    <w:multiLevelType w:val="multilevel"/>
    <w:tmpl w:val="BD807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6D401D"/>
    <w:multiLevelType w:val="multilevel"/>
    <w:tmpl w:val="AB9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E3B41"/>
    <w:multiLevelType w:val="hybridMultilevel"/>
    <w:tmpl w:val="31AAC0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D16C2"/>
    <w:multiLevelType w:val="multilevel"/>
    <w:tmpl w:val="0FE2A486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29" w15:restartNumberingAfterBreak="0">
    <w:nsid w:val="789C3E78"/>
    <w:multiLevelType w:val="multilevel"/>
    <w:tmpl w:val="A508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C68F1"/>
    <w:multiLevelType w:val="multilevel"/>
    <w:tmpl w:val="6B50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"/>
  </w:num>
  <w:num w:numId="3">
    <w:abstractNumId w:val="27"/>
  </w:num>
  <w:num w:numId="4">
    <w:abstractNumId w:val="14"/>
  </w:num>
  <w:num w:numId="5">
    <w:abstractNumId w:val="7"/>
  </w:num>
  <w:num w:numId="6">
    <w:abstractNumId w:val="17"/>
  </w:num>
  <w:num w:numId="7">
    <w:abstractNumId w:val="13"/>
  </w:num>
  <w:num w:numId="8">
    <w:abstractNumId w:val="26"/>
  </w:num>
  <w:num w:numId="9">
    <w:abstractNumId w:val="12"/>
  </w:num>
  <w:num w:numId="10">
    <w:abstractNumId w:val="23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25"/>
  </w:num>
  <w:num w:numId="16">
    <w:abstractNumId w:val="3"/>
  </w:num>
  <w:num w:numId="17">
    <w:abstractNumId w:val="22"/>
  </w:num>
  <w:num w:numId="18">
    <w:abstractNumId w:val="15"/>
  </w:num>
  <w:num w:numId="19">
    <w:abstractNumId w:val="8"/>
  </w:num>
  <w:num w:numId="20">
    <w:abstractNumId w:val="18"/>
  </w:num>
  <w:num w:numId="21">
    <w:abstractNumId w:val="30"/>
  </w:num>
  <w:num w:numId="22">
    <w:abstractNumId w:val="0"/>
  </w:num>
  <w:num w:numId="23">
    <w:abstractNumId w:val="24"/>
  </w:num>
  <w:num w:numId="24">
    <w:abstractNumId w:val="29"/>
  </w:num>
  <w:num w:numId="25">
    <w:abstractNumId w:val="21"/>
  </w:num>
  <w:num w:numId="26">
    <w:abstractNumId w:val="16"/>
  </w:num>
  <w:num w:numId="27">
    <w:abstractNumId w:val="1"/>
  </w:num>
  <w:num w:numId="28">
    <w:abstractNumId w:val="10"/>
  </w:num>
  <w:num w:numId="29">
    <w:abstractNumId w:val="20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9"/>
    <w:rsid w:val="00061E55"/>
    <w:rsid w:val="000744EC"/>
    <w:rsid w:val="0007600A"/>
    <w:rsid w:val="000B1D01"/>
    <w:rsid w:val="000B6E27"/>
    <w:rsid w:val="000D34A3"/>
    <w:rsid w:val="000D5583"/>
    <w:rsid w:val="000D7D53"/>
    <w:rsid w:val="000D7E45"/>
    <w:rsid w:val="000E00AD"/>
    <w:rsid w:val="000E205C"/>
    <w:rsid w:val="000F5A60"/>
    <w:rsid w:val="0010101A"/>
    <w:rsid w:val="00104506"/>
    <w:rsid w:val="00105E68"/>
    <w:rsid w:val="00122A43"/>
    <w:rsid w:val="00126EBC"/>
    <w:rsid w:val="001306AA"/>
    <w:rsid w:val="001357F9"/>
    <w:rsid w:val="00161395"/>
    <w:rsid w:val="00165841"/>
    <w:rsid w:val="001809DE"/>
    <w:rsid w:val="001A3775"/>
    <w:rsid w:val="001A4BFA"/>
    <w:rsid w:val="001B5007"/>
    <w:rsid w:val="001C6D3C"/>
    <w:rsid w:val="001C73E7"/>
    <w:rsid w:val="001D1537"/>
    <w:rsid w:val="001E296C"/>
    <w:rsid w:val="001E6F94"/>
    <w:rsid w:val="001F539F"/>
    <w:rsid w:val="0021522B"/>
    <w:rsid w:val="0022546C"/>
    <w:rsid w:val="002265AA"/>
    <w:rsid w:val="0023706B"/>
    <w:rsid w:val="002513BA"/>
    <w:rsid w:val="00272694"/>
    <w:rsid w:val="00276FF2"/>
    <w:rsid w:val="00297CC0"/>
    <w:rsid w:val="002E1BB9"/>
    <w:rsid w:val="002E4B2D"/>
    <w:rsid w:val="002F03AE"/>
    <w:rsid w:val="002F58DB"/>
    <w:rsid w:val="00311D15"/>
    <w:rsid w:val="00312918"/>
    <w:rsid w:val="003206D7"/>
    <w:rsid w:val="003505B1"/>
    <w:rsid w:val="00364031"/>
    <w:rsid w:val="00383641"/>
    <w:rsid w:val="00386DDB"/>
    <w:rsid w:val="00397BD3"/>
    <w:rsid w:val="003B4839"/>
    <w:rsid w:val="003D4564"/>
    <w:rsid w:val="003D762F"/>
    <w:rsid w:val="003E0752"/>
    <w:rsid w:val="003F52A9"/>
    <w:rsid w:val="003F798F"/>
    <w:rsid w:val="0040600E"/>
    <w:rsid w:val="00415B69"/>
    <w:rsid w:val="00422D7F"/>
    <w:rsid w:val="00446873"/>
    <w:rsid w:val="00446ECC"/>
    <w:rsid w:val="00450262"/>
    <w:rsid w:val="00451677"/>
    <w:rsid w:val="0045688F"/>
    <w:rsid w:val="00467C2F"/>
    <w:rsid w:val="00482428"/>
    <w:rsid w:val="004870AC"/>
    <w:rsid w:val="0049331D"/>
    <w:rsid w:val="004A06B0"/>
    <w:rsid w:val="004A7017"/>
    <w:rsid w:val="004C67BA"/>
    <w:rsid w:val="004C795D"/>
    <w:rsid w:val="004D01B1"/>
    <w:rsid w:val="004D7452"/>
    <w:rsid w:val="00507F02"/>
    <w:rsid w:val="00524BDF"/>
    <w:rsid w:val="005325A4"/>
    <w:rsid w:val="005525CA"/>
    <w:rsid w:val="00555343"/>
    <w:rsid w:val="00565C6E"/>
    <w:rsid w:val="0057267A"/>
    <w:rsid w:val="00573564"/>
    <w:rsid w:val="005775AC"/>
    <w:rsid w:val="00583FE0"/>
    <w:rsid w:val="005879E9"/>
    <w:rsid w:val="00593BD6"/>
    <w:rsid w:val="005A6A1C"/>
    <w:rsid w:val="005B4C02"/>
    <w:rsid w:val="005D6936"/>
    <w:rsid w:val="005E539E"/>
    <w:rsid w:val="005E659B"/>
    <w:rsid w:val="005F437A"/>
    <w:rsid w:val="00602FB8"/>
    <w:rsid w:val="006040A0"/>
    <w:rsid w:val="00611247"/>
    <w:rsid w:val="0061750F"/>
    <w:rsid w:val="006213C7"/>
    <w:rsid w:val="00640403"/>
    <w:rsid w:val="006477A8"/>
    <w:rsid w:val="00655548"/>
    <w:rsid w:val="00660318"/>
    <w:rsid w:val="0066070A"/>
    <w:rsid w:val="00664BC9"/>
    <w:rsid w:val="00670204"/>
    <w:rsid w:val="00681DD9"/>
    <w:rsid w:val="00683081"/>
    <w:rsid w:val="006A35F7"/>
    <w:rsid w:val="006B3C75"/>
    <w:rsid w:val="006B4311"/>
    <w:rsid w:val="006C6401"/>
    <w:rsid w:val="006D0DAE"/>
    <w:rsid w:val="006E201A"/>
    <w:rsid w:val="006E54D6"/>
    <w:rsid w:val="006F4F2E"/>
    <w:rsid w:val="00712AEE"/>
    <w:rsid w:val="00713BBE"/>
    <w:rsid w:val="00746870"/>
    <w:rsid w:val="00765AD2"/>
    <w:rsid w:val="007808B8"/>
    <w:rsid w:val="0079068A"/>
    <w:rsid w:val="007B2B22"/>
    <w:rsid w:val="007B40AC"/>
    <w:rsid w:val="007C230D"/>
    <w:rsid w:val="007C7EB2"/>
    <w:rsid w:val="007D6BC4"/>
    <w:rsid w:val="007F3D2B"/>
    <w:rsid w:val="0080175F"/>
    <w:rsid w:val="00813F1D"/>
    <w:rsid w:val="00817D08"/>
    <w:rsid w:val="00834902"/>
    <w:rsid w:val="00842E01"/>
    <w:rsid w:val="008723E3"/>
    <w:rsid w:val="00874E05"/>
    <w:rsid w:val="008753D4"/>
    <w:rsid w:val="00887A53"/>
    <w:rsid w:val="00897312"/>
    <w:rsid w:val="008D53E3"/>
    <w:rsid w:val="008D6DFC"/>
    <w:rsid w:val="008E54F4"/>
    <w:rsid w:val="008F674B"/>
    <w:rsid w:val="00912D63"/>
    <w:rsid w:val="0092663C"/>
    <w:rsid w:val="009276D3"/>
    <w:rsid w:val="009456A2"/>
    <w:rsid w:val="0094735D"/>
    <w:rsid w:val="0095131B"/>
    <w:rsid w:val="00963C3B"/>
    <w:rsid w:val="009671A8"/>
    <w:rsid w:val="0098784E"/>
    <w:rsid w:val="00997193"/>
    <w:rsid w:val="009B0A0B"/>
    <w:rsid w:val="009B1F30"/>
    <w:rsid w:val="009B35CE"/>
    <w:rsid w:val="009B588B"/>
    <w:rsid w:val="009C346C"/>
    <w:rsid w:val="009C372D"/>
    <w:rsid w:val="009C6E1C"/>
    <w:rsid w:val="009E30BC"/>
    <w:rsid w:val="009E59F2"/>
    <w:rsid w:val="009F3031"/>
    <w:rsid w:val="00A13E8F"/>
    <w:rsid w:val="00A2347F"/>
    <w:rsid w:val="00A25069"/>
    <w:rsid w:val="00A26D1C"/>
    <w:rsid w:val="00A428FC"/>
    <w:rsid w:val="00A42EC7"/>
    <w:rsid w:val="00A51527"/>
    <w:rsid w:val="00A54B9B"/>
    <w:rsid w:val="00A8108A"/>
    <w:rsid w:val="00A87D1D"/>
    <w:rsid w:val="00AA0A2E"/>
    <w:rsid w:val="00AB59F0"/>
    <w:rsid w:val="00AB7D74"/>
    <w:rsid w:val="00AC302C"/>
    <w:rsid w:val="00AC78E6"/>
    <w:rsid w:val="00AD1A3B"/>
    <w:rsid w:val="00AD72DA"/>
    <w:rsid w:val="00AE266E"/>
    <w:rsid w:val="00AF796D"/>
    <w:rsid w:val="00B14E77"/>
    <w:rsid w:val="00B2772A"/>
    <w:rsid w:val="00B3607E"/>
    <w:rsid w:val="00B40663"/>
    <w:rsid w:val="00B624A7"/>
    <w:rsid w:val="00B73E20"/>
    <w:rsid w:val="00B74D11"/>
    <w:rsid w:val="00B83BEF"/>
    <w:rsid w:val="00B93CE6"/>
    <w:rsid w:val="00B94DE5"/>
    <w:rsid w:val="00BA2D73"/>
    <w:rsid w:val="00BA5C2A"/>
    <w:rsid w:val="00BB63B1"/>
    <w:rsid w:val="00BC6796"/>
    <w:rsid w:val="00BD3414"/>
    <w:rsid w:val="00BD3FA2"/>
    <w:rsid w:val="00BE59CE"/>
    <w:rsid w:val="00BF1D83"/>
    <w:rsid w:val="00BF3601"/>
    <w:rsid w:val="00C1490B"/>
    <w:rsid w:val="00C35634"/>
    <w:rsid w:val="00C502B9"/>
    <w:rsid w:val="00C54D1E"/>
    <w:rsid w:val="00C5607A"/>
    <w:rsid w:val="00C6243B"/>
    <w:rsid w:val="00C74A24"/>
    <w:rsid w:val="00C815A1"/>
    <w:rsid w:val="00C83EDF"/>
    <w:rsid w:val="00C8417E"/>
    <w:rsid w:val="00CA4D19"/>
    <w:rsid w:val="00CA6C25"/>
    <w:rsid w:val="00CD3F09"/>
    <w:rsid w:val="00CD59FC"/>
    <w:rsid w:val="00CF44BB"/>
    <w:rsid w:val="00CF5984"/>
    <w:rsid w:val="00D04C3A"/>
    <w:rsid w:val="00D22027"/>
    <w:rsid w:val="00D262A1"/>
    <w:rsid w:val="00D2639F"/>
    <w:rsid w:val="00D47965"/>
    <w:rsid w:val="00D5585E"/>
    <w:rsid w:val="00D62830"/>
    <w:rsid w:val="00D67B22"/>
    <w:rsid w:val="00DB77EC"/>
    <w:rsid w:val="00DC2605"/>
    <w:rsid w:val="00DD5009"/>
    <w:rsid w:val="00DF0CBC"/>
    <w:rsid w:val="00DF2965"/>
    <w:rsid w:val="00DF4E28"/>
    <w:rsid w:val="00E43611"/>
    <w:rsid w:val="00E469FD"/>
    <w:rsid w:val="00E57E2C"/>
    <w:rsid w:val="00E645B7"/>
    <w:rsid w:val="00E8012D"/>
    <w:rsid w:val="00E803B3"/>
    <w:rsid w:val="00E83637"/>
    <w:rsid w:val="00E86552"/>
    <w:rsid w:val="00E9346D"/>
    <w:rsid w:val="00EA45F5"/>
    <w:rsid w:val="00EA4AA2"/>
    <w:rsid w:val="00EB6F60"/>
    <w:rsid w:val="00EC05FC"/>
    <w:rsid w:val="00EC093E"/>
    <w:rsid w:val="00EC5304"/>
    <w:rsid w:val="00ED5C2E"/>
    <w:rsid w:val="00EE1C58"/>
    <w:rsid w:val="00EE2776"/>
    <w:rsid w:val="00F16D7A"/>
    <w:rsid w:val="00F25BB4"/>
    <w:rsid w:val="00F33175"/>
    <w:rsid w:val="00F5227A"/>
    <w:rsid w:val="00F5792C"/>
    <w:rsid w:val="00F64534"/>
    <w:rsid w:val="00F67CCF"/>
    <w:rsid w:val="00F856A5"/>
    <w:rsid w:val="00F91B3C"/>
    <w:rsid w:val="00F9336A"/>
    <w:rsid w:val="00F95666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B971"/>
  <w15:docId w15:val="{6B5C4D8F-C64D-4325-8657-1941D6E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220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20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202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64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031"/>
  </w:style>
  <w:style w:type="paragraph" w:styleId="Piedepgina">
    <w:name w:val="footer"/>
    <w:basedOn w:val="Normal"/>
    <w:link w:val="PiedepginaCar"/>
    <w:uiPriority w:val="99"/>
    <w:unhideWhenUsed/>
    <w:rsid w:val="00364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031"/>
  </w:style>
  <w:style w:type="paragraph" w:styleId="Prrafodelista">
    <w:name w:val="List Paragraph"/>
    <w:basedOn w:val="Normal"/>
    <w:uiPriority w:val="34"/>
    <w:qFormat/>
    <w:rsid w:val="003836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74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1BB9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06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06B0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E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0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4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4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4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40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B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B2B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n">
    <w:name w:val="Revision"/>
    <w:hidden/>
    <w:uiPriority w:val="99"/>
    <w:semiHidden/>
    <w:rsid w:val="009C6E1C"/>
    <w:pPr>
      <w:spacing w:after="0" w:line="240" w:lineRule="auto"/>
    </w:pPr>
  </w:style>
  <w:style w:type="paragraph" w:styleId="Textosinformato">
    <w:name w:val="Plain Text"/>
    <w:basedOn w:val="Normal"/>
    <w:link w:val="TextosinformatoCar"/>
    <w:rsid w:val="009276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276D3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DBA-2864-4610-8EEA-06BB7084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Barrera Portales</dc:creator>
  <cp:lastModifiedBy>San Martin</cp:lastModifiedBy>
  <cp:revision>3</cp:revision>
  <dcterms:created xsi:type="dcterms:W3CDTF">2020-05-22T13:19:00Z</dcterms:created>
  <dcterms:modified xsi:type="dcterms:W3CDTF">2020-05-22T13:19:00Z</dcterms:modified>
</cp:coreProperties>
</file>