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4976E" w14:textId="46DED0F5" w:rsidR="00594B67" w:rsidRPr="00504D6E" w:rsidRDefault="005A45DC" w:rsidP="00594B67">
      <w:pPr>
        <w:jc w:val="center"/>
        <w:rPr>
          <w:rFonts w:ascii="Arial" w:hAnsi="Arial" w:cs="Arial"/>
          <w:color w:val="1F5285"/>
          <w:shd w:val="clear" w:color="auto" w:fill="FFFFFF"/>
        </w:rPr>
      </w:pPr>
      <w:r w:rsidRPr="00504D6E">
        <w:rPr>
          <w:rFonts w:ascii="Arial" w:hAnsi="Arial" w:cs="Arial"/>
          <w:color w:val="1F5285"/>
          <w:shd w:val="clear" w:color="auto" w:fill="FFFFFF"/>
        </w:rPr>
        <w:t>Proyecto de r</w:t>
      </w:r>
      <w:r w:rsidR="00594B67" w:rsidRPr="00504D6E">
        <w:rPr>
          <w:rFonts w:ascii="Arial" w:hAnsi="Arial" w:cs="Arial"/>
          <w:color w:val="1F5285"/>
          <w:shd w:val="clear" w:color="auto" w:fill="FFFFFF"/>
        </w:rPr>
        <w:t>esolución que</w:t>
      </w:r>
      <w:r w:rsidRPr="00504D6E">
        <w:rPr>
          <w:rFonts w:ascii="Arial" w:hAnsi="Arial" w:cs="Arial"/>
          <w:color w:val="1F5285"/>
          <w:shd w:val="clear" w:color="auto" w:fill="FFFFFF"/>
        </w:rPr>
        <w:t xml:space="preserve"> actualiza el Compendio en materia de Valor A</w:t>
      </w:r>
      <w:r w:rsidR="00594B67" w:rsidRPr="00504D6E">
        <w:rPr>
          <w:rFonts w:ascii="Arial" w:hAnsi="Arial" w:cs="Arial"/>
          <w:color w:val="1F5285"/>
          <w:shd w:val="clear" w:color="auto" w:fill="FFFFFF"/>
        </w:rPr>
        <w:t>duanero de las mercancías</w:t>
      </w:r>
      <w:r w:rsidR="00504D6E" w:rsidRPr="00504D6E">
        <w:rPr>
          <w:rFonts w:ascii="Arial" w:hAnsi="Arial" w:cs="Arial"/>
          <w:color w:val="1F5285"/>
          <w:shd w:val="clear" w:color="auto" w:fill="FFFFFF"/>
        </w:rPr>
        <w:t>.</w:t>
      </w:r>
    </w:p>
    <w:p w14:paraId="5D7B8718" w14:textId="77777777" w:rsidR="00C71527" w:rsidRPr="00504D6E" w:rsidRDefault="00C71527" w:rsidP="00594B67">
      <w:pPr>
        <w:jc w:val="center"/>
        <w:rPr>
          <w:rFonts w:ascii="Arial" w:hAnsi="Arial" w:cs="Arial"/>
          <w:color w:val="1F5285"/>
          <w:shd w:val="clear" w:color="auto" w:fill="FFFFFF"/>
        </w:rPr>
      </w:pPr>
    </w:p>
    <w:p w14:paraId="66FA9E73" w14:textId="0E08C5B9" w:rsidR="00C71527" w:rsidRPr="00504D6E" w:rsidRDefault="00C71527" w:rsidP="00347673">
      <w:pPr>
        <w:jc w:val="both"/>
        <w:rPr>
          <w:rFonts w:ascii="Arial" w:hAnsi="Arial" w:cs="Arial"/>
          <w:color w:val="1F5285"/>
          <w:shd w:val="clear" w:color="auto" w:fill="FFFFFF"/>
        </w:rPr>
      </w:pPr>
      <w:r w:rsidRPr="00504D6E">
        <w:rPr>
          <w:rFonts w:ascii="Arial" w:hAnsi="Arial" w:cs="Arial"/>
          <w:color w:val="1F5285"/>
          <w:shd w:val="clear" w:color="auto" w:fill="FFFFFF"/>
        </w:rPr>
        <w:t xml:space="preserve">Origen de la consulta: Sr. John Jara </w:t>
      </w:r>
      <w:proofErr w:type="spellStart"/>
      <w:r w:rsidRPr="00504D6E">
        <w:rPr>
          <w:rFonts w:ascii="Arial" w:hAnsi="Arial" w:cs="Arial"/>
          <w:color w:val="1F5285"/>
          <w:shd w:val="clear" w:color="auto" w:fill="FFFFFF"/>
        </w:rPr>
        <w:t>Jofré</w:t>
      </w:r>
      <w:proofErr w:type="spellEnd"/>
      <w:r w:rsidRPr="00504D6E">
        <w:rPr>
          <w:rFonts w:ascii="Arial" w:hAnsi="Arial" w:cs="Arial"/>
          <w:color w:val="1F5285"/>
          <w:shd w:val="clear" w:color="auto" w:fill="FFFFFF"/>
        </w:rPr>
        <w:t>, Agencia de Aduana Car</w:t>
      </w:r>
      <w:r w:rsidR="00504D6E">
        <w:rPr>
          <w:rFonts w:ascii="Arial" w:hAnsi="Arial" w:cs="Arial"/>
          <w:color w:val="1F5285"/>
          <w:shd w:val="clear" w:color="auto" w:fill="FFFFFF"/>
        </w:rPr>
        <w:t>los de Aguirre y Cía. Limitada.</w:t>
      </w:r>
      <w:bookmarkStart w:id="0" w:name="_GoBack"/>
      <w:bookmarkEnd w:id="0"/>
    </w:p>
    <w:p w14:paraId="06C22DCF" w14:textId="77777777" w:rsidR="00594B67" w:rsidRPr="00504D6E" w:rsidRDefault="00594B67" w:rsidP="00594B67">
      <w:pPr>
        <w:jc w:val="center"/>
        <w:rPr>
          <w:rFonts w:ascii="Arial" w:hAnsi="Arial" w:cs="Arial"/>
          <w:color w:val="1F5285"/>
          <w:shd w:val="clear" w:color="auto" w:fill="FFFFFF"/>
        </w:rPr>
      </w:pPr>
    </w:p>
    <w:p w14:paraId="6263FF51" w14:textId="13DD04C0" w:rsidR="00594B67" w:rsidRPr="00504D6E" w:rsidRDefault="00594B67" w:rsidP="00504D6E">
      <w:pPr>
        <w:jc w:val="center"/>
        <w:rPr>
          <w:rFonts w:ascii="Arial" w:hAnsi="Arial" w:cs="Arial"/>
          <w:color w:val="1F5285"/>
          <w:shd w:val="clear" w:color="auto" w:fill="FFFFFF"/>
        </w:rPr>
      </w:pPr>
      <w:r w:rsidRPr="00504D6E">
        <w:rPr>
          <w:rFonts w:ascii="Arial" w:hAnsi="Arial" w:cs="Arial"/>
          <w:color w:val="1F5285"/>
          <w:shd w:val="clear" w:color="auto" w:fill="FFFFFF"/>
        </w:rPr>
        <w:t>Fecha de Publicación Anticipada: desde el 02.12.2019 al 13.12.2019</w:t>
      </w:r>
    </w:p>
    <w:p w14:paraId="5A142534" w14:textId="77777777" w:rsidR="005A45DC" w:rsidRPr="00845F03" w:rsidRDefault="005A45DC" w:rsidP="00594B67">
      <w:pPr>
        <w:jc w:val="both"/>
        <w:rPr>
          <w:rFonts w:ascii="Arial" w:hAnsi="Arial" w:cs="Arial"/>
          <w:color w:val="1F5285"/>
          <w:shd w:val="clear" w:color="auto" w:fill="FFFFFF"/>
        </w:rPr>
      </w:pPr>
    </w:p>
    <w:tbl>
      <w:tblPr>
        <w:tblStyle w:val="Tablaconcuadrcula"/>
        <w:tblW w:w="9209" w:type="dxa"/>
        <w:tblLook w:val="04A0" w:firstRow="1" w:lastRow="0" w:firstColumn="1" w:lastColumn="0" w:noHBand="0" w:noVBand="1"/>
      </w:tblPr>
      <w:tblGrid>
        <w:gridCol w:w="704"/>
        <w:gridCol w:w="4394"/>
        <w:gridCol w:w="4111"/>
      </w:tblGrid>
      <w:tr w:rsidR="00594B67" w14:paraId="23553A9C" w14:textId="77777777" w:rsidTr="00400786">
        <w:tc>
          <w:tcPr>
            <w:tcW w:w="704" w:type="dxa"/>
          </w:tcPr>
          <w:p w14:paraId="3146AB35" w14:textId="77777777" w:rsidR="00594B67" w:rsidRDefault="00594B67" w:rsidP="009A520B">
            <w:pPr>
              <w:jc w:val="center"/>
              <w:rPr>
                <w:b/>
                <w:sz w:val="24"/>
                <w:szCs w:val="24"/>
              </w:rPr>
            </w:pPr>
            <w:r>
              <w:rPr>
                <w:b/>
                <w:sz w:val="24"/>
                <w:szCs w:val="24"/>
              </w:rPr>
              <w:t>N°</w:t>
            </w:r>
          </w:p>
        </w:tc>
        <w:tc>
          <w:tcPr>
            <w:tcW w:w="4394" w:type="dxa"/>
          </w:tcPr>
          <w:p w14:paraId="7F22CF7D" w14:textId="77777777" w:rsidR="00594B67" w:rsidRDefault="00594B67" w:rsidP="009A520B">
            <w:pPr>
              <w:jc w:val="center"/>
              <w:rPr>
                <w:b/>
                <w:sz w:val="24"/>
                <w:szCs w:val="24"/>
              </w:rPr>
            </w:pPr>
            <w:r>
              <w:rPr>
                <w:b/>
                <w:sz w:val="24"/>
                <w:szCs w:val="24"/>
              </w:rPr>
              <w:t>Comentario/Responsable</w:t>
            </w:r>
          </w:p>
        </w:tc>
        <w:tc>
          <w:tcPr>
            <w:tcW w:w="4111" w:type="dxa"/>
          </w:tcPr>
          <w:p w14:paraId="757EFA4C" w14:textId="77777777" w:rsidR="00594B67" w:rsidRDefault="00594B67" w:rsidP="009A520B">
            <w:pPr>
              <w:jc w:val="center"/>
              <w:rPr>
                <w:b/>
                <w:sz w:val="24"/>
                <w:szCs w:val="24"/>
              </w:rPr>
            </w:pPr>
            <w:r>
              <w:rPr>
                <w:b/>
                <w:sz w:val="24"/>
                <w:szCs w:val="24"/>
              </w:rPr>
              <w:t>Respuesta</w:t>
            </w:r>
          </w:p>
        </w:tc>
      </w:tr>
      <w:tr w:rsidR="00594B67" w14:paraId="53A23C38" w14:textId="77777777" w:rsidTr="00400786">
        <w:tc>
          <w:tcPr>
            <w:tcW w:w="704" w:type="dxa"/>
          </w:tcPr>
          <w:p w14:paraId="17B63609" w14:textId="77777777" w:rsidR="00594B67" w:rsidRPr="00596D7A" w:rsidRDefault="00594B67" w:rsidP="009A520B">
            <w:pPr>
              <w:pStyle w:val="NormalWeb"/>
              <w:shd w:val="clear" w:color="auto" w:fill="FFFFFF"/>
              <w:spacing w:before="225" w:beforeAutospacing="0" w:after="225" w:afterAutospacing="0"/>
              <w:jc w:val="both"/>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4394" w:type="dxa"/>
          </w:tcPr>
          <w:p w14:paraId="24FF4863" w14:textId="4461925F" w:rsidR="00400786" w:rsidRDefault="00594B67" w:rsidP="009A520B">
            <w:pPr>
              <w:pStyle w:val="Textocomentario"/>
              <w:jc w:val="both"/>
              <w:rPr>
                <w:sz w:val="24"/>
                <w:szCs w:val="24"/>
              </w:rPr>
            </w:pPr>
            <w:r w:rsidRPr="00594B67">
              <w:rPr>
                <w:sz w:val="24"/>
                <w:szCs w:val="24"/>
              </w:rPr>
              <w:t xml:space="preserve">Párrafo </w:t>
            </w:r>
            <w:r w:rsidR="00C71527">
              <w:rPr>
                <w:sz w:val="24"/>
                <w:szCs w:val="24"/>
              </w:rPr>
              <w:t>5</w:t>
            </w:r>
            <w:r w:rsidRPr="00594B67">
              <w:rPr>
                <w:sz w:val="24"/>
                <w:szCs w:val="24"/>
              </w:rPr>
              <w:t xml:space="preserve"> numeral 1.1.</w:t>
            </w:r>
          </w:p>
          <w:p w14:paraId="74AC3F87" w14:textId="7088B8EE" w:rsidR="00594B67" w:rsidRPr="00845F03" w:rsidRDefault="00594B67" w:rsidP="009A520B">
            <w:pPr>
              <w:pStyle w:val="Textocomentario"/>
              <w:jc w:val="both"/>
              <w:rPr>
                <w:sz w:val="24"/>
                <w:szCs w:val="24"/>
              </w:rPr>
            </w:pPr>
            <w:r w:rsidRPr="00594B67">
              <w:rPr>
                <w:sz w:val="24"/>
                <w:szCs w:val="24"/>
              </w:rPr>
              <w:t xml:space="preserve">Solicitamos precisar con claridad a lo que se refiere este párrafo. Entendemos de este que: Cuando la cláusula pactada sea superior a FOB, y los montos de flete y seguro consignados en la factura comercial sean distintos de los señalados en el certificado de seguro y documento de transporte, el valor CFR o CIF declarado en factura se mantiene inalterado. Sin embargo, la frase siguiente que indica “…ajustándose el valor FOB, conforme a los valores indicados en la póliza y/o certificado de y/o documento de transporte” no se logra entender con precisión a lo que se refiere, y no se puede determinar si quiere decir que se debe incrementar o disminuir el FOB por las diferencias que se produzcan, o simplemente el FOB será consecuencia de la resta entre el valor clausula (CFR o CIF) con el o los conceptos flete y seguro. </w:t>
            </w:r>
          </w:p>
          <w:p w14:paraId="1D84965A" w14:textId="06B6B353" w:rsidR="00594B67" w:rsidRDefault="00594B67" w:rsidP="00C71527">
            <w:pPr>
              <w:jc w:val="both"/>
              <w:rPr>
                <w:b/>
                <w:sz w:val="24"/>
                <w:szCs w:val="24"/>
              </w:rPr>
            </w:pPr>
          </w:p>
        </w:tc>
        <w:tc>
          <w:tcPr>
            <w:tcW w:w="4111" w:type="dxa"/>
          </w:tcPr>
          <w:p w14:paraId="63850316" w14:textId="77777777" w:rsidR="00C71527" w:rsidRDefault="00C71527" w:rsidP="009A520B">
            <w:pPr>
              <w:pStyle w:val="Textocomentario"/>
              <w:jc w:val="both"/>
              <w:rPr>
                <w:sz w:val="24"/>
                <w:szCs w:val="24"/>
              </w:rPr>
            </w:pPr>
          </w:p>
          <w:p w14:paraId="669D0A47" w14:textId="3BFCCD1D" w:rsidR="00400786" w:rsidRDefault="002D32A3" w:rsidP="009A520B">
            <w:pPr>
              <w:pStyle w:val="Textocomentario"/>
              <w:jc w:val="both"/>
              <w:rPr>
                <w:sz w:val="24"/>
                <w:szCs w:val="24"/>
              </w:rPr>
            </w:pPr>
            <w:r>
              <w:rPr>
                <w:sz w:val="24"/>
                <w:szCs w:val="24"/>
              </w:rPr>
              <w:t>A</w:t>
            </w:r>
            <w:r w:rsidR="00400786">
              <w:rPr>
                <w:sz w:val="24"/>
                <w:szCs w:val="24"/>
              </w:rPr>
              <w:t>clara</w:t>
            </w:r>
            <w:r>
              <w:rPr>
                <w:sz w:val="24"/>
                <w:szCs w:val="24"/>
              </w:rPr>
              <w:t>mos</w:t>
            </w:r>
            <w:r w:rsidR="00400786">
              <w:rPr>
                <w:sz w:val="24"/>
                <w:szCs w:val="24"/>
              </w:rPr>
              <w:t xml:space="preserve"> que, </w:t>
            </w:r>
            <w:r w:rsidR="00276983">
              <w:rPr>
                <w:sz w:val="24"/>
                <w:szCs w:val="24"/>
              </w:rPr>
              <w:t xml:space="preserve">en este caso, </w:t>
            </w:r>
            <w:r>
              <w:rPr>
                <w:sz w:val="24"/>
                <w:szCs w:val="24"/>
              </w:rPr>
              <w:t>la determinación d</w:t>
            </w:r>
            <w:r w:rsidR="00400786" w:rsidRPr="00400786">
              <w:rPr>
                <w:sz w:val="24"/>
                <w:szCs w:val="24"/>
              </w:rPr>
              <w:t>el</w:t>
            </w:r>
            <w:r>
              <w:rPr>
                <w:sz w:val="24"/>
                <w:szCs w:val="24"/>
              </w:rPr>
              <w:t xml:space="preserve"> valor</w:t>
            </w:r>
            <w:r w:rsidR="00400786" w:rsidRPr="00400786">
              <w:rPr>
                <w:sz w:val="24"/>
                <w:szCs w:val="24"/>
              </w:rPr>
              <w:t xml:space="preserve"> FOB será consecuencia de la resta entre los conceptos indicados en factura comercial que son parte del CIF, y los valores indicados en la póliza y/o certificado de seguro y/o documento de transporte</w:t>
            </w:r>
            <w:r w:rsidR="00276983">
              <w:rPr>
                <w:sz w:val="24"/>
                <w:szCs w:val="24"/>
              </w:rPr>
              <w:t>,</w:t>
            </w:r>
            <w:r w:rsidR="00400786" w:rsidRPr="00400786">
              <w:rPr>
                <w:sz w:val="24"/>
                <w:szCs w:val="24"/>
              </w:rPr>
              <w:t xml:space="preserve"> según corresponda.</w:t>
            </w:r>
          </w:p>
          <w:p w14:paraId="0288C2B5" w14:textId="52C65497" w:rsidR="00594B67" w:rsidRPr="00596D7A" w:rsidRDefault="00594B67" w:rsidP="009A520B">
            <w:pPr>
              <w:pStyle w:val="Textocomentario"/>
              <w:jc w:val="both"/>
              <w:rPr>
                <w:sz w:val="24"/>
                <w:szCs w:val="24"/>
              </w:rPr>
            </w:pPr>
          </w:p>
        </w:tc>
      </w:tr>
      <w:tr w:rsidR="00594B67" w:rsidRPr="00A5068F" w14:paraId="20519EFB" w14:textId="77777777" w:rsidTr="00400786">
        <w:tc>
          <w:tcPr>
            <w:tcW w:w="704" w:type="dxa"/>
          </w:tcPr>
          <w:p w14:paraId="11ED1F78" w14:textId="77777777" w:rsidR="00594B67" w:rsidRDefault="00594B67" w:rsidP="009A520B">
            <w:pPr>
              <w:pStyle w:val="NormalWeb"/>
              <w:shd w:val="clear" w:color="auto" w:fill="FFFFFF"/>
              <w:spacing w:before="225" w:beforeAutospacing="0" w:after="225" w:afterAutospacing="0"/>
              <w:jc w:val="both"/>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4394" w:type="dxa"/>
          </w:tcPr>
          <w:p w14:paraId="47F8A8D0" w14:textId="77777777" w:rsidR="00400786" w:rsidRDefault="00594B67" w:rsidP="00594B67">
            <w:pPr>
              <w:jc w:val="both"/>
              <w:rPr>
                <w:sz w:val="24"/>
                <w:szCs w:val="24"/>
              </w:rPr>
            </w:pPr>
            <w:r w:rsidRPr="00594B67">
              <w:rPr>
                <w:sz w:val="24"/>
                <w:szCs w:val="24"/>
              </w:rPr>
              <w:t>Párrafo 3 numeral 9.12</w:t>
            </w:r>
          </w:p>
          <w:p w14:paraId="715297A1" w14:textId="77777777" w:rsidR="00400786" w:rsidRDefault="00400786" w:rsidP="00594B67">
            <w:pPr>
              <w:jc w:val="both"/>
              <w:rPr>
                <w:sz w:val="24"/>
                <w:szCs w:val="24"/>
              </w:rPr>
            </w:pPr>
          </w:p>
          <w:p w14:paraId="48FF6FC8" w14:textId="29710ED4" w:rsidR="00594B67" w:rsidRDefault="00594B67" w:rsidP="00594B67">
            <w:pPr>
              <w:jc w:val="both"/>
              <w:rPr>
                <w:sz w:val="24"/>
                <w:szCs w:val="24"/>
              </w:rPr>
            </w:pPr>
            <w:r w:rsidRPr="00594B67">
              <w:rPr>
                <w:sz w:val="24"/>
                <w:szCs w:val="24"/>
              </w:rPr>
              <w:t xml:space="preserve">Para importaciones de mercancía a granel, cuando con cargo a los mismos documentos de base se tramita una DIN y una DAPI, ambas anticipadas, y se generen diferencias en exceso o defecto, agradeceremos se precise respecto a que si el valor de flete y seguro declarado en la DIN se mantienen inalterados, así como también el de la o las cancelaciones de la DAPI, de tal manera que se cumpla con la indicación de que la suma de la sumatoria de los montos de flete y seguro sean coincidentes con los valores declarados en los contratos respectivos. </w:t>
            </w:r>
          </w:p>
          <w:p w14:paraId="7264239A" w14:textId="77777777" w:rsidR="00594B67" w:rsidRDefault="00594B67" w:rsidP="00594B67">
            <w:pPr>
              <w:jc w:val="both"/>
              <w:rPr>
                <w:sz w:val="24"/>
                <w:szCs w:val="24"/>
              </w:rPr>
            </w:pPr>
          </w:p>
          <w:p w14:paraId="5F9A1C89" w14:textId="74169225" w:rsidR="00400786" w:rsidRPr="005C67E9" w:rsidRDefault="00400786" w:rsidP="00C71527">
            <w:pPr>
              <w:jc w:val="both"/>
              <w:rPr>
                <w:b/>
              </w:rPr>
            </w:pPr>
          </w:p>
        </w:tc>
        <w:tc>
          <w:tcPr>
            <w:tcW w:w="4111" w:type="dxa"/>
          </w:tcPr>
          <w:p w14:paraId="26B12378" w14:textId="77777777" w:rsidR="00C71527" w:rsidRDefault="00C71527" w:rsidP="001C5932">
            <w:pPr>
              <w:pStyle w:val="Textocomentario"/>
              <w:rPr>
                <w:sz w:val="24"/>
                <w:szCs w:val="24"/>
              </w:rPr>
            </w:pPr>
          </w:p>
          <w:p w14:paraId="288F663B" w14:textId="74B04AC6" w:rsidR="00400786" w:rsidRPr="00845F03" w:rsidRDefault="002D32A3" w:rsidP="005A45DC">
            <w:pPr>
              <w:pStyle w:val="Textocomentario"/>
              <w:jc w:val="both"/>
              <w:rPr>
                <w:sz w:val="24"/>
                <w:szCs w:val="24"/>
              </w:rPr>
            </w:pPr>
            <w:r>
              <w:rPr>
                <w:sz w:val="24"/>
                <w:szCs w:val="24"/>
              </w:rPr>
              <w:t xml:space="preserve">Precisamos </w:t>
            </w:r>
            <w:r w:rsidR="00CE6BC2">
              <w:rPr>
                <w:sz w:val="24"/>
                <w:szCs w:val="24"/>
              </w:rPr>
              <w:t xml:space="preserve"> </w:t>
            </w:r>
            <w:r w:rsidR="00400786">
              <w:rPr>
                <w:sz w:val="24"/>
                <w:szCs w:val="24"/>
              </w:rPr>
              <w:t>que</w:t>
            </w:r>
            <w:r>
              <w:rPr>
                <w:sz w:val="24"/>
                <w:szCs w:val="24"/>
              </w:rPr>
              <w:t>,</w:t>
            </w:r>
            <w:r w:rsidR="00400786">
              <w:rPr>
                <w:sz w:val="24"/>
                <w:szCs w:val="24"/>
              </w:rPr>
              <w:t xml:space="preserve"> </w:t>
            </w:r>
            <w:r w:rsidR="00400786" w:rsidRPr="00400786">
              <w:rPr>
                <w:sz w:val="24"/>
                <w:szCs w:val="24"/>
              </w:rPr>
              <w:t xml:space="preserve">para la </w:t>
            </w:r>
            <w:r w:rsidR="00276983">
              <w:rPr>
                <w:sz w:val="24"/>
                <w:szCs w:val="24"/>
              </w:rPr>
              <w:t xml:space="preserve">importación de </w:t>
            </w:r>
            <w:r w:rsidR="00400786" w:rsidRPr="00400786">
              <w:rPr>
                <w:sz w:val="24"/>
                <w:szCs w:val="24"/>
              </w:rPr>
              <w:t>mercancía a granel, en cas</w:t>
            </w:r>
            <w:r w:rsidR="00CE6BC2">
              <w:rPr>
                <w:sz w:val="24"/>
                <w:szCs w:val="24"/>
              </w:rPr>
              <w:t xml:space="preserve">o de merma o exceso, se aplica lo dispuesto en la norma general del </w:t>
            </w:r>
            <w:r w:rsidR="00400786" w:rsidRPr="00400786">
              <w:rPr>
                <w:sz w:val="24"/>
                <w:szCs w:val="24"/>
              </w:rPr>
              <w:t xml:space="preserve">numeral 16 del Capítulo II de este Compendio, independiente que se trate de importaciones </w:t>
            </w:r>
            <w:r w:rsidR="00CE6BC2">
              <w:rPr>
                <w:sz w:val="24"/>
                <w:szCs w:val="24"/>
              </w:rPr>
              <w:t xml:space="preserve">de trámite normal o anticipado, </w:t>
            </w:r>
            <w:r w:rsidR="001C5932">
              <w:rPr>
                <w:sz w:val="24"/>
                <w:szCs w:val="24"/>
              </w:rPr>
              <w:t>es decir, los montos totales de flete y seguro son inalterables</w:t>
            </w:r>
            <w:r w:rsidR="00276983">
              <w:rPr>
                <w:sz w:val="24"/>
                <w:szCs w:val="24"/>
              </w:rPr>
              <w:t xml:space="preserve">, a excepción de los casos </w:t>
            </w:r>
            <w:r w:rsidR="00AC58ED">
              <w:rPr>
                <w:sz w:val="24"/>
                <w:szCs w:val="24"/>
              </w:rPr>
              <w:t xml:space="preserve">en </w:t>
            </w:r>
            <w:r w:rsidR="00276983">
              <w:rPr>
                <w:sz w:val="24"/>
                <w:szCs w:val="24"/>
              </w:rPr>
              <w:t xml:space="preserve">que </w:t>
            </w:r>
            <w:r w:rsidR="00AC58ED">
              <w:rPr>
                <w:sz w:val="24"/>
                <w:szCs w:val="24"/>
              </w:rPr>
              <w:t>exista</w:t>
            </w:r>
            <w:r w:rsidR="001C5932">
              <w:rPr>
                <w:sz w:val="24"/>
                <w:szCs w:val="24"/>
              </w:rPr>
              <w:t xml:space="preserve"> </w:t>
            </w:r>
            <w:r w:rsidR="00CE6BC2" w:rsidRPr="00CE6BC2">
              <w:rPr>
                <w:sz w:val="24"/>
                <w:szCs w:val="24"/>
              </w:rPr>
              <w:t xml:space="preserve">un cobro complementario </w:t>
            </w:r>
            <w:r w:rsidR="005A45DC">
              <w:rPr>
                <w:sz w:val="24"/>
                <w:szCs w:val="24"/>
              </w:rPr>
              <w:t xml:space="preserve">o </w:t>
            </w:r>
            <w:r w:rsidR="001C5932">
              <w:rPr>
                <w:sz w:val="24"/>
                <w:szCs w:val="24"/>
              </w:rPr>
              <w:t xml:space="preserve">una </w:t>
            </w:r>
            <w:r w:rsidR="001C5932" w:rsidRPr="001C5932">
              <w:rPr>
                <w:sz w:val="24"/>
                <w:szCs w:val="24"/>
              </w:rPr>
              <w:t xml:space="preserve">rebaja a dichos </w:t>
            </w:r>
            <w:r w:rsidR="001C5932">
              <w:rPr>
                <w:sz w:val="24"/>
                <w:szCs w:val="24"/>
              </w:rPr>
              <w:t>valores.</w:t>
            </w:r>
          </w:p>
        </w:tc>
      </w:tr>
      <w:tr w:rsidR="00400786" w:rsidRPr="00A5068F" w14:paraId="0AD300CA" w14:textId="77777777" w:rsidTr="00400786">
        <w:tc>
          <w:tcPr>
            <w:tcW w:w="704" w:type="dxa"/>
          </w:tcPr>
          <w:p w14:paraId="4B392BF4" w14:textId="70EA88CE" w:rsidR="00400786" w:rsidRDefault="00400786" w:rsidP="009A520B">
            <w:pPr>
              <w:pStyle w:val="NormalWeb"/>
              <w:shd w:val="clear" w:color="auto" w:fill="FFFFFF"/>
              <w:spacing w:before="225" w:beforeAutospacing="0" w:after="225" w:afterAutospacing="0"/>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3</w:t>
            </w:r>
          </w:p>
        </w:tc>
        <w:tc>
          <w:tcPr>
            <w:tcW w:w="4394" w:type="dxa"/>
          </w:tcPr>
          <w:p w14:paraId="559F7B07" w14:textId="30DA7EBF" w:rsidR="00400786" w:rsidRDefault="00400786" w:rsidP="00400786">
            <w:pPr>
              <w:jc w:val="both"/>
            </w:pPr>
            <w:r>
              <w:t>Numeral 10.8</w:t>
            </w:r>
            <w:r w:rsidR="00BE3290">
              <w:t xml:space="preserve"> </w:t>
            </w:r>
            <w:r w:rsidR="00BE3290" w:rsidRPr="00347673">
              <w:t>del Anexo 18 del Compendio de Normas Aduaneras, en su apartado I</w:t>
            </w:r>
          </w:p>
          <w:p w14:paraId="088FF9AC" w14:textId="77777777" w:rsidR="00400786" w:rsidRDefault="00400786" w:rsidP="00400786">
            <w:pPr>
              <w:jc w:val="both"/>
            </w:pPr>
          </w:p>
          <w:p w14:paraId="4082D209" w14:textId="1EFFB26E" w:rsidR="00400786" w:rsidRPr="00347673" w:rsidRDefault="00400786" w:rsidP="00400786">
            <w:pPr>
              <w:jc w:val="both"/>
              <w:rPr>
                <w:sz w:val="24"/>
                <w:szCs w:val="24"/>
              </w:rPr>
            </w:pPr>
            <w:r w:rsidRPr="00AF0D29">
              <w:t>El actual numeral 10.8 del Anexo 18 del Compendio de Normas Aduaneras</w:t>
            </w:r>
            <w:r w:rsidR="00B822CA" w:rsidRPr="00AF0D29">
              <w:t>,</w:t>
            </w:r>
            <w:r w:rsidRPr="00AF0D29">
              <w:t xml:space="preserve"> incorpora la posibilidad de aplicar gastos teóricos ante la ausencia de estos, cuando la cláusula corresponda a EXW o FAS, sin embargo</w:t>
            </w:r>
            <w:r w:rsidR="00B822CA" w:rsidRPr="00AF0D29">
              <w:t>,</w:t>
            </w:r>
            <w:r w:rsidRPr="00AF0D29">
              <w:t xml:space="preserve"> la modificación propuesta en el proyecto de resolución los elimina. Esto quiere decir que cuando la operación haya sido pactada en clausula EXW o FAS, y ante la imposibilidad de contar con gastos efectivos, respaldados en la factura comercial, documento de transporte, o nota de gastos, al igual que en la cláusula FCA</w:t>
            </w:r>
            <w:r w:rsidR="00B822CA" w:rsidRPr="00AF0D29">
              <w:t>,</w:t>
            </w:r>
            <w:r w:rsidRPr="00AF0D29">
              <w:t xml:space="preserve"> el valor facturado se podría declarar como FOB. Favor precisar en esto.</w:t>
            </w:r>
          </w:p>
          <w:p w14:paraId="75C07A09" w14:textId="77777777" w:rsidR="00400786" w:rsidRDefault="00400786" w:rsidP="00400786">
            <w:pPr>
              <w:jc w:val="both"/>
            </w:pPr>
          </w:p>
          <w:p w14:paraId="6B580CC6" w14:textId="01AB4D11" w:rsidR="00400786" w:rsidRPr="000C0611" w:rsidRDefault="00400786" w:rsidP="00400786">
            <w:pPr>
              <w:jc w:val="both"/>
              <w:rPr>
                <w:b/>
              </w:rPr>
            </w:pPr>
          </w:p>
        </w:tc>
        <w:tc>
          <w:tcPr>
            <w:tcW w:w="4111" w:type="dxa"/>
          </w:tcPr>
          <w:p w14:paraId="45C3116E" w14:textId="47AE62A4" w:rsidR="006920FD" w:rsidRDefault="00BE3290" w:rsidP="00347673">
            <w:pPr>
              <w:pStyle w:val="Textocomentario"/>
              <w:jc w:val="both"/>
              <w:rPr>
                <w:sz w:val="24"/>
                <w:szCs w:val="24"/>
              </w:rPr>
            </w:pPr>
            <w:r>
              <w:rPr>
                <w:sz w:val="24"/>
                <w:szCs w:val="24"/>
              </w:rPr>
              <w:t>La</w:t>
            </w:r>
            <w:r w:rsidR="00F754EA">
              <w:rPr>
                <w:sz w:val="24"/>
                <w:szCs w:val="24"/>
              </w:rPr>
              <w:t xml:space="preserve"> dinámica actual del comercio exterior</w:t>
            </w:r>
            <w:r w:rsidR="00B822CA">
              <w:rPr>
                <w:sz w:val="24"/>
                <w:szCs w:val="24"/>
              </w:rPr>
              <w:t>,</w:t>
            </w:r>
            <w:r w:rsidR="00F754EA">
              <w:rPr>
                <w:sz w:val="24"/>
                <w:szCs w:val="24"/>
              </w:rPr>
              <w:t xml:space="preserve"> permite el uso de facturas electrónicas y</w:t>
            </w:r>
            <w:r w:rsidR="00347673">
              <w:rPr>
                <w:sz w:val="24"/>
                <w:szCs w:val="24"/>
              </w:rPr>
              <w:t>,</w:t>
            </w:r>
            <w:r w:rsidR="00F754EA">
              <w:rPr>
                <w:sz w:val="24"/>
                <w:szCs w:val="24"/>
              </w:rPr>
              <w:t xml:space="preserve"> </w:t>
            </w:r>
            <w:r w:rsidR="00B822CA">
              <w:rPr>
                <w:sz w:val="24"/>
                <w:szCs w:val="24"/>
              </w:rPr>
              <w:t>el envío</w:t>
            </w:r>
            <w:r w:rsidR="00F754EA">
              <w:rPr>
                <w:sz w:val="24"/>
                <w:szCs w:val="24"/>
              </w:rPr>
              <w:t xml:space="preserve"> de </w:t>
            </w:r>
            <w:r w:rsidR="00347673">
              <w:rPr>
                <w:sz w:val="24"/>
                <w:szCs w:val="24"/>
              </w:rPr>
              <w:t>documentos vía internet</w:t>
            </w:r>
            <w:r w:rsidR="004C4AE4">
              <w:rPr>
                <w:sz w:val="24"/>
                <w:szCs w:val="24"/>
              </w:rPr>
              <w:t xml:space="preserve"> posibilita</w:t>
            </w:r>
            <w:r w:rsidR="00F754EA">
              <w:rPr>
                <w:sz w:val="24"/>
                <w:szCs w:val="24"/>
              </w:rPr>
              <w:t xml:space="preserve"> al importador contar con los respaldos que den cuenta de</w:t>
            </w:r>
            <w:r w:rsidR="004C4AE4">
              <w:rPr>
                <w:sz w:val="24"/>
                <w:szCs w:val="24"/>
              </w:rPr>
              <w:t xml:space="preserve"> </w:t>
            </w:r>
            <w:r w:rsidR="00F754EA">
              <w:rPr>
                <w:sz w:val="24"/>
                <w:szCs w:val="24"/>
              </w:rPr>
              <w:t>l</w:t>
            </w:r>
            <w:r w:rsidR="004C4AE4">
              <w:rPr>
                <w:sz w:val="24"/>
                <w:szCs w:val="24"/>
              </w:rPr>
              <w:t>os</w:t>
            </w:r>
            <w:r w:rsidR="00F754EA">
              <w:rPr>
                <w:sz w:val="24"/>
                <w:szCs w:val="24"/>
              </w:rPr>
              <w:t xml:space="preserve"> </w:t>
            </w:r>
            <w:r w:rsidR="00F754EA" w:rsidRPr="00F754EA">
              <w:rPr>
                <w:sz w:val="24"/>
                <w:szCs w:val="24"/>
              </w:rPr>
              <w:t>gastos</w:t>
            </w:r>
            <w:r w:rsidR="00F754EA">
              <w:rPr>
                <w:sz w:val="24"/>
                <w:szCs w:val="24"/>
              </w:rPr>
              <w:t xml:space="preserve"> en que ha incu</w:t>
            </w:r>
            <w:r w:rsidR="004C4AE4">
              <w:rPr>
                <w:sz w:val="24"/>
                <w:szCs w:val="24"/>
              </w:rPr>
              <w:t>rrido</w:t>
            </w:r>
            <w:r w:rsidR="00F754EA">
              <w:rPr>
                <w:sz w:val="24"/>
                <w:szCs w:val="24"/>
              </w:rPr>
              <w:t xml:space="preserve"> para dejar las mercancías en condición FOB en el puerto o lugar de salida </w:t>
            </w:r>
            <w:r w:rsidR="004C4AE4">
              <w:rPr>
                <w:sz w:val="24"/>
                <w:szCs w:val="24"/>
              </w:rPr>
              <w:t>d</w:t>
            </w:r>
            <w:r w:rsidR="00F754EA">
              <w:rPr>
                <w:sz w:val="24"/>
                <w:szCs w:val="24"/>
              </w:rPr>
              <w:t>el país de exportació</w:t>
            </w:r>
            <w:r w:rsidR="004C4AE4">
              <w:rPr>
                <w:sz w:val="24"/>
                <w:szCs w:val="24"/>
              </w:rPr>
              <w:t>n.</w:t>
            </w:r>
          </w:p>
          <w:p w14:paraId="7D82D14E" w14:textId="77777777" w:rsidR="00B66B62" w:rsidRDefault="006920FD" w:rsidP="00347673">
            <w:pPr>
              <w:pStyle w:val="Textocomentario"/>
              <w:jc w:val="both"/>
              <w:rPr>
                <w:sz w:val="24"/>
                <w:szCs w:val="24"/>
              </w:rPr>
            </w:pPr>
            <w:r>
              <w:rPr>
                <w:sz w:val="24"/>
                <w:szCs w:val="24"/>
              </w:rPr>
              <w:t>Cabe precisar que en las clausulas EXW o FAS</w:t>
            </w:r>
            <w:r w:rsidR="004C4AE4">
              <w:rPr>
                <w:sz w:val="24"/>
                <w:szCs w:val="24"/>
              </w:rPr>
              <w:t>,</w:t>
            </w:r>
            <w:r>
              <w:rPr>
                <w:sz w:val="24"/>
                <w:szCs w:val="24"/>
              </w:rPr>
              <w:t xml:space="preserve"> es el importador el responsable de dejar las mercancías en condición FOB, por lo que</w:t>
            </w:r>
            <w:r w:rsidR="004C4AE4">
              <w:rPr>
                <w:sz w:val="24"/>
                <w:szCs w:val="24"/>
              </w:rPr>
              <w:t>,</w:t>
            </w:r>
            <w:r>
              <w:rPr>
                <w:sz w:val="24"/>
                <w:szCs w:val="24"/>
              </w:rPr>
              <w:t xml:space="preserve"> en cualquier caso debiera tener conocimiento de los gastos</w:t>
            </w:r>
            <w:r w:rsidR="004C4AE4">
              <w:rPr>
                <w:sz w:val="24"/>
                <w:szCs w:val="24"/>
              </w:rPr>
              <w:t xml:space="preserve"> realizados</w:t>
            </w:r>
            <w:r>
              <w:rPr>
                <w:sz w:val="24"/>
                <w:szCs w:val="24"/>
              </w:rPr>
              <w:t>.</w:t>
            </w:r>
          </w:p>
          <w:p w14:paraId="3A9111E4" w14:textId="6BE353B1" w:rsidR="006920FD" w:rsidRDefault="00B66B62" w:rsidP="00347673">
            <w:pPr>
              <w:pStyle w:val="Textocomentario"/>
              <w:jc w:val="both"/>
              <w:rPr>
                <w:sz w:val="24"/>
                <w:szCs w:val="24"/>
              </w:rPr>
            </w:pPr>
            <w:r>
              <w:rPr>
                <w:sz w:val="24"/>
                <w:szCs w:val="24"/>
              </w:rPr>
              <w:t>L</w:t>
            </w:r>
            <w:r w:rsidR="00AF0D29">
              <w:rPr>
                <w:sz w:val="24"/>
                <w:szCs w:val="24"/>
              </w:rPr>
              <w:t xml:space="preserve">as cláusulas </w:t>
            </w:r>
            <w:r w:rsidR="006920FD">
              <w:rPr>
                <w:sz w:val="24"/>
                <w:szCs w:val="24"/>
              </w:rPr>
              <w:t xml:space="preserve">FCA o EXW </w:t>
            </w:r>
            <w:r>
              <w:rPr>
                <w:sz w:val="24"/>
                <w:szCs w:val="24"/>
              </w:rPr>
              <w:t xml:space="preserve">no </w:t>
            </w:r>
            <w:r w:rsidR="00AF0D29">
              <w:rPr>
                <w:sz w:val="24"/>
                <w:szCs w:val="24"/>
              </w:rPr>
              <w:t>son</w:t>
            </w:r>
            <w:r w:rsidR="006920FD">
              <w:rPr>
                <w:sz w:val="24"/>
                <w:szCs w:val="24"/>
              </w:rPr>
              <w:t xml:space="preserve"> igual</w:t>
            </w:r>
            <w:r w:rsidR="00AF0D29">
              <w:rPr>
                <w:sz w:val="24"/>
                <w:szCs w:val="24"/>
              </w:rPr>
              <w:t>es</w:t>
            </w:r>
            <w:r w:rsidR="006920FD">
              <w:rPr>
                <w:sz w:val="24"/>
                <w:szCs w:val="24"/>
              </w:rPr>
              <w:t xml:space="preserve"> a </w:t>
            </w:r>
            <w:r w:rsidR="00AF0D29">
              <w:rPr>
                <w:sz w:val="24"/>
                <w:szCs w:val="24"/>
              </w:rPr>
              <w:t xml:space="preserve">la cláusula </w:t>
            </w:r>
            <w:r w:rsidR="006920FD">
              <w:rPr>
                <w:sz w:val="24"/>
                <w:szCs w:val="24"/>
              </w:rPr>
              <w:t>FOB.</w:t>
            </w:r>
            <w:r w:rsidR="00F754EA">
              <w:rPr>
                <w:sz w:val="24"/>
                <w:szCs w:val="24"/>
              </w:rPr>
              <w:t xml:space="preserve"> </w:t>
            </w:r>
          </w:p>
          <w:p w14:paraId="0B0E9575" w14:textId="128D2BBC" w:rsidR="00B66B62" w:rsidRDefault="00B66B62" w:rsidP="00347673">
            <w:pPr>
              <w:pStyle w:val="Textocomentario"/>
              <w:jc w:val="both"/>
              <w:rPr>
                <w:sz w:val="24"/>
                <w:szCs w:val="24"/>
              </w:rPr>
            </w:pPr>
            <w:r>
              <w:rPr>
                <w:sz w:val="24"/>
                <w:szCs w:val="24"/>
              </w:rPr>
              <w:t>La cláusula  Ex Fabrica significa “en fábrica”, el vendedor realiza la entrega de las mercancías al comprador en sus instalaciones, es decir, taller, fábrica, almacén, etc.</w:t>
            </w:r>
          </w:p>
          <w:p w14:paraId="4CD39301" w14:textId="77777777" w:rsidR="00400786" w:rsidRDefault="00B66B62" w:rsidP="00B66B62">
            <w:pPr>
              <w:pStyle w:val="Textocomentario"/>
              <w:jc w:val="both"/>
              <w:rPr>
                <w:sz w:val="24"/>
                <w:szCs w:val="24"/>
              </w:rPr>
            </w:pPr>
            <w:r>
              <w:rPr>
                <w:sz w:val="24"/>
                <w:szCs w:val="24"/>
              </w:rPr>
              <w:t>La cláusula FCA, significa “franco porteador”, es decir, el vendedor entrega la mercancía al porteador o a otra persona designada por el comprador, en el lugar acordado.</w:t>
            </w:r>
            <w:r w:rsidRPr="00845F03">
              <w:rPr>
                <w:sz w:val="24"/>
                <w:szCs w:val="24"/>
              </w:rPr>
              <w:t xml:space="preserve"> </w:t>
            </w:r>
          </w:p>
          <w:p w14:paraId="2BEEFFAB" w14:textId="101F3B56" w:rsidR="00B66B62" w:rsidRPr="00845F03" w:rsidRDefault="00B66B62" w:rsidP="00B66B62">
            <w:pPr>
              <w:pStyle w:val="Textocomentario"/>
              <w:jc w:val="both"/>
              <w:rPr>
                <w:sz w:val="24"/>
                <w:szCs w:val="24"/>
              </w:rPr>
            </w:pPr>
            <w:r>
              <w:rPr>
                <w:sz w:val="24"/>
                <w:szCs w:val="24"/>
              </w:rPr>
              <w:t>La cláusula FOB, “significa “franco a bordo” del buque designado por el comprador. El vendedor</w:t>
            </w:r>
            <w:r w:rsidR="00450864">
              <w:rPr>
                <w:sz w:val="24"/>
                <w:szCs w:val="24"/>
              </w:rPr>
              <w:t xml:space="preserve"> entrega las mercancías a bordo del buque.</w:t>
            </w:r>
          </w:p>
        </w:tc>
      </w:tr>
      <w:tr w:rsidR="00400786" w:rsidRPr="00A5068F" w14:paraId="46908534" w14:textId="77777777" w:rsidTr="00400786">
        <w:tc>
          <w:tcPr>
            <w:tcW w:w="704" w:type="dxa"/>
          </w:tcPr>
          <w:p w14:paraId="3FCE4A50" w14:textId="6A682DC5" w:rsidR="00400786" w:rsidRDefault="00400786" w:rsidP="009A520B">
            <w:pPr>
              <w:pStyle w:val="NormalWeb"/>
              <w:shd w:val="clear" w:color="auto" w:fill="FFFFFF"/>
              <w:spacing w:before="225" w:beforeAutospacing="0" w:after="225" w:afterAutospacing="0"/>
              <w:jc w:val="both"/>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4394" w:type="dxa"/>
          </w:tcPr>
          <w:p w14:paraId="3AAE6CB8" w14:textId="77777777" w:rsidR="00AF0D29" w:rsidRDefault="00AF0D29" w:rsidP="00400786">
            <w:pPr>
              <w:jc w:val="both"/>
            </w:pPr>
          </w:p>
          <w:p w14:paraId="3C4E59F7" w14:textId="77777777" w:rsidR="00400786" w:rsidRPr="00FE1D4C" w:rsidRDefault="00400786" w:rsidP="00400786">
            <w:pPr>
              <w:jc w:val="both"/>
              <w:rPr>
                <w:sz w:val="24"/>
                <w:szCs w:val="24"/>
              </w:rPr>
            </w:pPr>
            <w:r w:rsidRPr="00FE1D4C">
              <w:rPr>
                <w:sz w:val="24"/>
                <w:szCs w:val="24"/>
              </w:rPr>
              <w:t>En una importación de mercancía embarcada a granel sólido, para la cual se ha tramitado una DIN anticipada por el total del embarque acogiéndose a un TLC, la papeleta de recepción muestra que se recibió una mayor cantidad de mercancía respecto de lo amparado en la DIN.</w:t>
            </w:r>
          </w:p>
          <w:p w14:paraId="24DE4035" w14:textId="77777777" w:rsidR="00400786" w:rsidRPr="00FE1D4C" w:rsidRDefault="00400786" w:rsidP="00400786">
            <w:pPr>
              <w:jc w:val="both"/>
              <w:rPr>
                <w:sz w:val="24"/>
                <w:szCs w:val="24"/>
              </w:rPr>
            </w:pPr>
          </w:p>
          <w:p w14:paraId="7D52052C" w14:textId="77777777" w:rsidR="00400786" w:rsidRPr="00347673" w:rsidRDefault="00400786" w:rsidP="00400786">
            <w:pPr>
              <w:jc w:val="both"/>
              <w:rPr>
                <w:sz w:val="24"/>
                <w:szCs w:val="24"/>
              </w:rPr>
            </w:pPr>
            <w:r w:rsidRPr="00FE1D4C">
              <w:rPr>
                <w:sz w:val="24"/>
                <w:szCs w:val="24"/>
              </w:rPr>
              <w:t xml:space="preserve">Considerando que en la DIN anticipada se declaró el total de flete y seguro, y además se aplicó el beneficio arancelario de un TLC, por lo que el exceso de mercancía (granel solido) no estaría cubierto por el certificado de origen, lo que implica que el exceso de mercancía debe pagar el 6% de derechos + el 19% de IVA. Normativamente </w:t>
            </w:r>
            <w:r w:rsidRPr="00FE1D4C">
              <w:rPr>
                <w:sz w:val="24"/>
                <w:szCs w:val="24"/>
              </w:rPr>
              <w:lastRenderedPageBreak/>
              <w:t>no existe una tolerancia para el exceso de granel solido que permitida acoger al beneficio arancelario la mercancía en</w:t>
            </w:r>
            <w:r w:rsidRPr="00AF0D29">
              <w:t xml:space="preserve"> exceso, es decir esa parcialidad de mercancía estaría afecta al pago de derechos e IVA.</w:t>
            </w:r>
          </w:p>
          <w:p w14:paraId="4E9D539B" w14:textId="77777777" w:rsidR="00400786" w:rsidRPr="00347673" w:rsidRDefault="00400786" w:rsidP="00400786">
            <w:pPr>
              <w:jc w:val="both"/>
              <w:rPr>
                <w:sz w:val="24"/>
                <w:szCs w:val="24"/>
              </w:rPr>
            </w:pPr>
          </w:p>
          <w:p w14:paraId="049D4D6F" w14:textId="77777777" w:rsidR="00400786" w:rsidRPr="00347673" w:rsidRDefault="00400786" w:rsidP="00400786">
            <w:pPr>
              <w:jc w:val="both"/>
              <w:rPr>
                <w:sz w:val="24"/>
                <w:szCs w:val="24"/>
              </w:rPr>
            </w:pPr>
            <w:r w:rsidRPr="00AF0D29">
              <w:t>No podemos modificar la DIN mediante una SMDA, ya que al no existir una tolerancia permitida para el certificado de origen (granel solido) no podemos beneficiar el exceso del acuerdo indicado.</w:t>
            </w:r>
          </w:p>
          <w:p w14:paraId="21B052EC" w14:textId="77777777" w:rsidR="00400786" w:rsidRPr="00347673" w:rsidRDefault="00400786" w:rsidP="00400786">
            <w:pPr>
              <w:jc w:val="both"/>
              <w:rPr>
                <w:sz w:val="24"/>
                <w:szCs w:val="24"/>
              </w:rPr>
            </w:pPr>
          </w:p>
          <w:p w14:paraId="0469F909" w14:textId="77777777" w:rsidR="00400786" w:rsidRPr="00347673" w:rsidRDefault="00400786" w:rsidP="00400786">
            <w:pPr>
              <w:jc w:val="both"/>
              <w:rPr>
                <w:sz w:val="24"/>
                <w:szCs w:val="24"/>
              </w:rPr>
            </w:pPr>
            <w:r w:rsidRPr="00AF0D29">
              <w:t>Agradeceremos instruir la forma en que se debe proceder para realizar la importación de la mercancía descargada en exceso que se debe tramitar bajo régimen general, es decir, como debemos proceder con la aplicación del flete y seguro para el exceso en la valoración de la DIN, ya que está claro que el valor mercancía debe ser calculado sobre la base del precio unitario facturado.</w:t>
            </w:r>
          </w:p>
          <w:p w14:paraId="4B41A84A" w14:textId="77777777" w:rsidR="000C0611" w:rsidRPr="000C0611" w:rsidRDefault="000C0611" w:rsidP="00400786">
            <w:pPr>
              <w:jc w:val="both"/>
              <w:rPr>
                <w:b/>
              </w:rPr>
            </w:pPr>
          </w:p>
          <w:p w14:paraId="6805C543" w14:textId="49C65A64" w:rsidR="00400786" w:rsidRDefault="00400786" w:rsidP="00C71527">
            <w:pPr>
              <w:jc w:val="both"/>
            </w:pPr>
          </w:p>
        </w:tc>
        <w:tc>
          <w:tcPr>
            <w:tcW w:w="4111" w:type="dxa"/>
          </w:tcPr>
          <w:p w14:paraId="2D063C8B" w14:textId="77777777" w:rsidR="00FE1D4C" w:rsidRDefault="00FE1D4C" w:rsidP="00347673">
            <w:pPr>
              <w:pStyle w:val="Textocomentario"/>
              <w:jc w:val="both"/>
              <w:rPr>
                <w:sz w:val="24"/>
                <w:szCs w:val="24"/>
              </w:rPr>
            </w:pPr>
          </w:p>
          <w:p w14:paraId="634D5CE3" w14:textId="5F44267D" w:rsidR="00FE1D4C" w:rsidRDefault="00FE1D4C" w:rsidP="00347673">
            <w:pPr>
              <w:pStyle w:val="Textocomentario"/>
              <w:jc w:val="both"/>
              <w:rPr>
                <w:sz w:val="24"/>
                <w:szCs w:val="24"/>
              </w:rPr>
            </w:pPr>
            <w:r>
              <w:rPr>
                <w:sz w:val="24"/>
                <w:szCs w:val="24"/>
              </w:rPr>
              <w:t xml:space="preserve">En razón que, </w:t>
            </w:r>
            <w:r w:rsidRPr="00FE1D4C">
              <w:rPr>
                <w:sz w:val="24"/>
                <w:szCs w:val="24"/>
              </w:rPr>
              <w:t>el procedimiento de Publicación Anticipada es para responder las consultas asociadas al proyecto normativo en trámite</w:t>
            </w:r>
            <w:r w:rsidR="00FC3397">
              <w:rPr>
                <w:sz w:val="24"/>
                <w:szCs w:val="24"/>
              </w:rPr>
              <w:t xml:space="preserve">, se sugiere </w:t>
            </w:r>
            <w:r w:rsidR="00FC3397" w:rsidRPr="00FC3397">
              <w:rPr>
                <w:sz w:val="24"/>
                <w:szCs w:val="24"/>
              </w:rPr>
              <w:t>elevar una con</w:t>
            </w:r>
            <w:r w:rsidR="00FC3397">
              <w:rPr>
                <w:sz w:val="24"/>
                <w:szCs w:val="24"/>
              </w:rPr>
              <w:t xml:space="preserve">sulta a la Subdirección Técnica,  si a la fecha no ha sido respondida en otra instancia. </w:t>
            </w:r>
          </w:p>
          <w:p w14:paraId="656B91C1" w14:textId="77777777" w:rsidR="005A45DC" w:rsidRDefault="005A45DC" w:rsidP="00347673">
            <w:pPr>
              <w:pStyle w:val="Textocomentario"/>
              <w:jc w:val="both"/>
              <w:rPr>
                <w:sz w:val="24"/>
                <w:szCs w:val="24"/>
              </w:rPr>
            </w:pPr>
          </w:p>
          <w:p w14:paraId="6293AFD7" w14:textId="77777777" w:rsidR="00450864" w:rsidRDefault="00450864" w:rsidP="00347673">
            <w:pPr>
              <w:pStyle w:val="Textocomentario"/>
              <w:jc w:val="both"/>
              <w:rPr>
                <w:sz w:val="24"/>
                <w:szCs w:val="24"/>
              </w:rPr>
            </w:pPr>
          </w:p>
          <w:p w14:paraId="406D9240" w14:textId="1A6DDCB1" w:rsidR="00400786" w:rsidRPr="00845F03" w:rsidRDefault="001B3129" w:rsidP="00347673">
            <w:pPr>
              <w:pStyle w:val="Textocomentario"/>
              <w:jc w:val="both"/>
              <w:rPr>
                <w:sz w:val="24"/>
                <w:szCs w:val="24"/>
              </w:rPr>
            </w:pPr>
            <w:r>
              <w:rPr>
                <w:sz w:val="24"/>
                <w:szCs w:val="24"/>
              </w:rPr>
              <w:t xml:space="preserve"> </w:t>
            </w:r>
          </w:p>
        </w:tc>
      </w:tr>
    </w:tbl>
    <w:p w14:paraId="764CC9D7" w14:textId="41C5F6A3" w:rsidR="00594B67" w:rsidRDefault="00594B67" w:rsidP="00594B67">
      <w:pPr>
        <w:jc w:val="both"/>
      </w:pPr>
    </w:p>
    <w:p w14:paraId="371440F8" w14:textId="717D6568" w:rsidR="00AF2C4C" w:rsidRPr="00BC2D8D" w:rsidRDefault="00AF2C4C" w:rsidP="00594B67">
      <w:pPr>
        <w:widowControl w:val="0"/>
        <w:autoSpaceDE w:val="0"/>
        <w:autoSpaceDN w:val="0"/>
        <w:adjustRightInd w:val="0"/>
        <w:ind w:left="-2410" w:right="-991" w:firstLine="425"/>
        <w:jc w:val="right"/>
        <w:rPr>
          <w:rFonts w:ascii="Tahoma" w:hAnsi="Tahoma" w:cs="Tahoma"/>
          <w:sz w:val="22"/>
          <w:szCs w:val="22"/>
        </w:rPr>
      </w:pPr>
    </w:p>
    <w:sectPr w:rsidR="00AF2C4C" w:rsidRPr="00BC2D8D" w:rsidSect="00924E67">
      <w:headerReference w:type="default" r:id="rId6"/>
      <w:footerReference w:type="default" r:id="rId7"/>
      <w:pgSz w:w="12240" w:h="18720"/>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9E06F" w14:textId="77777777" w:rsidR="00435403" w:rsidRDefault="00435403" w:rsidP="009C340E">
      <w:r>
        <w:separator/>
      </w:r>
    </w:p>
  </w:endnote>
  <w:endnote w:type="continuationSeparator" w:id="0">
    <w:p w14:paraId="2AC23471" w14:textId="77777777" w:rsidR="00435403" w:rsidRDefault="00435403"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34D73104">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3EDE98"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7F49BEC" w14:textId="270B2454" w:rsidR="0038036B" w:rsidRPr="00594B67"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r w:rsidRPr="00D40B72">
                            <w:rPr>
                              <w:rFonts w:ascii="Tahoma" w:hAnsi="Tahoma" w:cs="Tahoma"/>
                              <w:color w:val="262626" w:themeColor="text1" w:themeTint="D9"/>
                              <w:sz w:val="15"/>
                              <w:szCs w:val="15"/>
                              <w:lang w:val="es-ES"/>
                            </w:rPr>
                            <w:br/>
                            <w:t>www.aduana.cl</w:t>
                          </w:r>
                        </w:p>
                        <w:p w14:paraId="4E0E696D" w14:textId="77777777" w:rsidR="0038036B" w:rsidRPr="003673F5" w:rsidRDefault="0038036B" w:rsidP="0038036B">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4F3EDE98"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7F49BEC" w14:textId="270B2454" w:rsidR="0038036B" w:rsidRPr="00594B67"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r w:rsidRPr="00D40B72">
                      <w:rPr>
                        <w:rFonts w:ascii="Tahoma" w:hAnsi="Tahoma" w:cs="Tahoma"/>
                        <w:color w:val="262626" w:themeColor="text1" w:themeTint="D9"/>
                        <w:sz w:val="15"/>
                        <w:szCs w:val="15"/>
                        <w:lang w:val="es-ES"/>
                      </w:rPr>
                      <w:br/>
                      <w:t>www.aduana.cl</w:t>
                    </w:r>
                  </w:p>
                  <w:p w14:paraId="4E0E696D" w14:textId="77777777" w:rsidR="0038036B" w:rsidRPr="003673F5" w:rsidRDefault="0038036B" w:rsidP="0038036B">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5BE70" w14:textId="77777777" w:rsidR="00435403" w:rsidRDefault="00435403" w:rsidP="009C340E">
      <w:r>
        <w:separator/>
      </w:r>
    </w:p>
  </w:footnote>
  <w:footnote w:type="continuationSeparator" w:id="0">
    <w:p w14:paraId="6E88E934" w14:textId="77777777" w:rsidR="00435403" w:rsidRDefault="00435403"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FD7AD3"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06526754"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14:paraId="68D2709A" w14:textId="77777777" w:rsidR="0038036B" w:rsidRPr="00DF42E3" w:rsidRDefault="0038036B" w:rsidP="0038036B">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2FFD7AD3"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06526754"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14:paraId="68D2709A" w14:textId="77777777" w:rsidR="0038036B" w:rsidRPr="00DF42E3" w:rsidRDefault="0038036B" w:rsidP="0038036B">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23D21"/>
    <w:rsid w:val="00030C1D"/>
    <w:rsid w:val="00052F83"/>
    <w:rsid w:val="00053EBE"/>
    <w:rsid w:val="000727D8"/>
    <w:rsid w:val="000823B7"/>
    <w:rsid w:val="00096404"/>
    <w:rsid w:val="000C049C"/>
    <w:rsid w:val="000C0611"/>
    <w:rsid w:val="000D3B4E"/>
    <w:rsid w:val="000E0A86"/>
    <w:rsid w:val="000F35E7"/>
    <w:rsid w:val="00146675"/>
    <w:rsid w:val="0015395A"/>
    <w:rsid w:val="001613FC"/>
    <w:rsid w:val="001620E5"/>
    <w:rsid w:val="00186BC5"/>
    <w:rsid w:val="0019094B"/>
    <w:rsid w:val="0019097A"/>
    <w:rsid w:val="001B3129"/>
    <w:rsid w:val="001B354E"/>
    <w:rsid w:val="001C5932"/>
    <w:rsid w:val="001E0E73"/>
    <w:rsid w:val="00204079"/>
    <w:rsid w:val="00234D34"/>
    <w:rsid w:val="00263637"/>
    <w:rsid w:val="00276983"/>
    <w:rsid w:val="002841B0"/>
    <w:rsid w:val="00286AEB"/>
    <w:rsid w:val="00287A9E"/>
    <w:rsid w:val="00290C00"/>
    <w:rsid w:val="002D32A3"/>
    <w:rsid w:val="002D3545"/>
    <w:rsid w:val="00303952"/>
    <w:rsid w:val="00305938"/>
    <w:rsid w:val="003441F3"/>
    <w:rsid w:val="00347673"/>
    <w:rsid w:val="003673F5"/>
    <w:rsid w:val="0038036B"/>
    <w:rsid w:val="003A1DA5"/>
    <w:rsid w:val="003A23B9"/>
    <w:rsid w:val="003E2C1A"/>
    <w:rsid w:val="003E5BAC"/>
    <w:rsid w:val="00400786"/>
    <w:rsid w:val="00435403"/>
    <w:rsid w:val="00450864"/>
    <w:rsid w:val="00465553"/>
    <w:rsid w:val="00485870"/>
    <w:rsid w:val="00494D66"/>
    <w:rsid w:val="00495B22"/>
    <w:rsid w:val="004B2B6C"/>
    <w:rsid w:val="004C4AE4"/>
    <w:rsid w:val="004D1CD8"/>
    <w:rsid w:val="004D27A3"/>
    <w:rsid w:val="00504D6E"/>
    <w:rsid w:val="00511013"/>
    <w:rsid w:val="0051688E"/>
    <w:rsid w:val="00517F4D"/>
    <w:rsid w:val="00522BAC"/>
    <w:rsid w:val="00527BF2"/>
    <w:rsid w:val="00540297"/>
    <w:rsid w:val="00557CA9"/>
    <w:rsid w:val="00594B67"/>
    <w:rsid w:val="005A45DC"/>
    <w:rsid w:val="005A4707"/>
    <w:rsid w:val="005C0373"/>
    <w:rsid w:val="005E371D"/>
    <w:rsid w:val="006130E9"/>
    <w:rsid w:val="00650BBE"/>
    <w:rsid w:val="0067218B"/>
    <w:rsid w:val="00684164"/>
    <w:rsid w:val="006920FD"/>
    <w:rsid w:val="006A7C90"/>
    <w:rsid w:val="006B3EE0"/>
    <w:rsid w:val="006F679F"/>
    <w:rsid w:val="006F7CCD"/>
    <w:rsid w:val="00725BDD"/>
    <w:rsid w:val="00734042"/>
    <w:rsid w:val="00770E7D"/>
    <w:rsid w:val="00786F6B"/>
    <w:rsid w:val="00793D3D"/>
    <w:rsid w:val="007A1EF9"/>
    <w:rsid w:val="007B01CD"/>
    <w:rsid w:val="007B4C77"/>
    <w:rsid w:val="007C603B"/>
    <w:rsid w:val="007D0D8A"/>
    <w:rsid w:val="007F2335"/>
    <w:rsid w:val="00846F7D"/>
    <w:rsid w:val="00851EEE"/>
    <w:rsid w:val="00865790"/>
    <w:rsid w:val="00870080"/>
    <w:rsid w:val="00872065"/>
    <w:rsid w:val="00890B71"/>
    <w:rsid w:val="0089332E"/>
    <w:rsid w:val="008A1F18"/>
    <w:rsid w:val="008B1164"/>
    <w:rsid w:val="008C04E1"/>
    <w:rsid w:val="008C3277"/>
    <w:rsid w:val="008C6A67"/>
    <w:rsid w:val="008D50AC"/>
    <w:rsid w:val="008D6C30"/>
    <w:rsid w:val="008E2A09"/>
    <w:rsid w:val="008F5AF2"/>
    <w:rsid w:val="009119D0"/>
    <w:rsid w:val="00924E67"/>
    <w:rsid w:val="00926D64"/>
    <w:rsid w:val="0095738B"/>
    <w:rsid w:val="0096217E"/>
    <w:rsid w:val="009706FD"/>
    <w:rsid w:val="0098297C"/>
    <w:rsid w:val="009848C3"/>
    <w:rsid w:val="00994587"/>
    <w:rsid w:val="009952FB"/>
    <w:rsid w:val="009A1EE2"/>
    <w:rsid w:val="009C340E"/>
    <w:rsid w:val="009F0C41"/>
    <w:rsid w:val="00A30785"/>
    <w:rsid w:val="00A66C9C"/>
    <w:rsid w:val="00A83DDE"/>
    <w:rsid w:val="00AA4B65"/>
    <w:rsid w:val="00AA7706"/>
    <w:rsid w:val="00AB279E"/>
    <w:rsid w:val="00AC1C4A"/>
    <w:rsid w:val="00AC58ED"/>
    <w:rsid w:val="00AD1E08"/>
    <w:rsid w:val="00AE4D1F"/>
    <w:rsid w:val="00AF0D29"/>
    <w:rsid w:val="00AF17EA"/>
    <w:rsid w:val="00AF2C4C"/>
    <w:rsid w:val="00AF5304"/>
    <w:rsid w:val="00B537C2"/>
    <w:rsid w:val="00B66B62"/>
    <w:rsid w:val="00B822CA"/>
    <w:rsid w:val="00BB5299"/>
    <w:rsid w:val="00BB7E3F"/>
    <w:rsid w:val="00BC2D8D"/>
    <w:rsid w:val="00BC4353"/>
    <w:rsid w:val="00BE053F"/>
    <w:rsid w:val="00BE0A2D"/>
    <w:rsid w:val="00BE3290"/>
    <w:rsid w:val="00BF5FFD"/>
    <w:rsid w:val="00C57414"/>
    <w:rsid w:val="00C71527"/>
    <w:rsid w:val="00C72A94"/>
    <w:rsid w:val="00C77BCD"/>
    <w:rsid w:val="00CB64E2"/>
    <w:rsid w:val="00CC04B1"/>
    <w:rsid w:val="00CE6BC2"/>
    <w:rsid w:val="00CF68AF"/>
    <w:rsid w:val="00D15398"/>
    <w:rsid w:val="00D40B72"/>
    <w:rsid w:val="00D732B0"/>
    <w:rsid w:val="00DA42F4"/>
    <w:rsid w:val="00DB065C"/>
    <w:rsid w:val="00DC7B01"/>
    <w:rsid w:val="00DD635A"/>
    <w:rsid w:val="00DF42E3"/>
    <w:rsid w:val="00E038E0"/>
    <w:rsid w:val="00E11325"/>
    <w:rsid w:val="00E333DA"/>
    <w:rsid w:val="00E45C37"/>
    <w:rsid w:val="00E52854"/>
    <w:rsid w:val="00E637B1"/>
    <w:rsid w:val="00E95B53"/>
    <w:rsid w:val="00EA18D7"/>
    <w:rsid w:val="00EC2297"/>
    <w:rsid w:val="00EC5C63"/>
    <w:rsid w:val="00ED2423"/>
    <w:rsid w:val="00ED3995"/>
    <w:rsid w:val="00ED5D2F"/>
    <w:rsid w:val="00EE0741"/>
    <w:rsid w:val="00EF73EA"/>
    <w:rsid w:val="00F0694C"/>
    <w:rsid w:val="00F32E61"/>
    <w:rsid w:val="00F33E07"/>
    <w:rsid w:val="00F4179F"/>
    <w:rsid w:val="00F42EA7"/>
    <w:rsid w:val="00F64F18"/>
    <w:rsid w:val="00F754EA"/>
    <w:rsid w:val="00F82348"/>
    <w:rsid w:val="00FB1BD5"/>
    <w:rsid w:val="00FB7100"/>
    <w:rsid w:val="00FC1203"/>
    <w:rsid w:val="00FC3397"/>
    <w:rsid w:val="00FD64D9"/>
    <w:rsid w:val="00FE1D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table" w:styleId="Tablaconcuadrcula">
    <w:name w:val="Table Grid"/>
    <w:basedOn w:val="Tablanormal"/>
    <w:uiPriority w:val="39"/>
    <w:rsid w:val="00594B67"/>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4B67"/>
    <w:pPr>
      <w:spacing w:before="100" w:beforeAutospacing="1" w:after="100" w:afterAutospacing="1"/>
    </w:pPr>
    <w:rPr>
      <w:rFonts w:ascii="Times New Roman" w:eastAsia="Times New Roman" w:hAnsi="Times New Roman" w:cs="Times New Roman"/>
      <w:lang w:val="es-CL" w:eastAsia="es-CL"/>
    </w:rPr>
  </w:style>
  <w:style w:type="paragraph" w:styleId="Textocomentario">
    <w:name w:val="annotation text"/>
    <w:basedOn w:val="Normal"/>
    <w:link w:val="TextocomentarioCar"/>
    <w:uiPriority w:val="99"/>
    <w:unhideWhenUsed/>
    <w:rsid w:val="00594B67"/>
    <w:pPr>
      <w:spacing w:after="160"/>
    </w:pPr>
    <w:rPr>
      <w:sz w:val="20"/>
      <w:szCs w:val="20"/>
      <w:lang w:val="es-CL"/>
    </w:rPr>
  </w:style>
  <w:style w:type="character" w:customStyle="1" w:styleId="TextocomentarioCar">
    <w:name w:val="Texto comentario Car"/>
    <w:basedOn w:val="Fuentedeprrafopredeter"/>
    <w:link w:val="Textocomentario"/>
    <w:uiPriority w:val="99"/>
    <w:rsid w:val="00594B67"/>
    <w:rPr>
      <w:sz w:val="20"/>
      <w:szCs w:val="20"/>
      <w:lang w:val="es-CL"/>
    </w:rPr>
  </w:style>
  <w:style w:type="paragraph" w:styleId="Textodeglobo">
    <w:name w:val="Balloon Text"/>
    <w:basedOn w:val="Normal"/>
    <w:link w:val="TextodegloboCar"/>
    <w:uiPriority w:val="99"/>
    <w:semiHidden/>
    <w:unhideWhenUsed/>
    <w:rsid w:val="00C715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895</Words>
  <Characters>4925</Characters>
  <Application>Microsoft Office Word</Application>
  <DocSecurity>0</DocSecurity>
  <Lines>41</Lines>
  <Paragraphs>11</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Raul Pacheco Mendiboure</cp:lastModifiedBy>
  <cp:revision>4</cp:revision>
  <cp:lastPrinted>2019-12-17T21:22:00Z</cp:lastPrinted>
  <dcterms:created xsi:type="dcterms:W3CDTF">2019-12-17T14:25:00Z</dcterms:created>
  <dcterms:modified xsi:type="dcterms:W3CDTF">2019-12-17T21:38:00Z</dcterms:modified>
</cp:coreProperties>
</file>