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47" w:rsidRPr="00403809" w:rsidRDefault="007A4747" w:rsidP="007A4747">
      <w:pPr>
        <w:autoSpaceDE w:val="0"/>
        <w:autoSpaceDN w:val="0"/>
        <w:adjustRightInd w:val="0"/>
        <w:rPr>
          <w:rFonts w:ascii="Verdana" w:hAnsi="Verdana" w:cs="Verdana"/>
          <w:b/>
          <w:sz w:val="16"/>
          <w:szCs w:val="16"/>
          <w:lang w:val="es-CL" w:eastAsia="es-CL"/>
        </w:rPr>
      </w:pPr>
      <w:r w:rsidRPr="00403809">
        <w:rPr>
          <w:rFonts w:ascii="Verdana" w:hAnsi="Verdana" w:cs="Verdana"/>
          <w:b/>
          <w:sz w:val="16"/>
          <w:szCs w:val="16"/>
          <w:lang w:val="es-CL" w:eastAsia="es-CL"/>
        </w:rPr>
        <w:t>Servicio Nacional de Aduanas</w:t>
      </w:r>
    </w:p>
    <w:p w:rsidR="007A4747" w:rsidRPr="00403809" w:rsidRDefault="007A4747" w:rsidP="007A4747">
      <w:pPr>
        <w:autoSpaceDE w:val="0"/>
        <w:autoSpaceDN w:val="0"/>
        <w:adjustRightInd w:val="0"/>
        <w:rPr>
          <w:rFonts w:ascii="Verdana" w:hAnsi="Verdana" w:cs="Verdana"/>
          <w:b/>
          <w:sz w:val="16"/>
          <w:szCs w:val="16"/>
          <w:lang w:val="es-CL" w:eastAsia="es-CL"/>
        </w:rPr>
      </w:pPr>
      <w:r w:rsidRPr="00403809">
        <w:rPr>
          <w:rFonts w:ascii="Verdana" w:hAnsi="Verdana" w:cs="Verdana"/>
          <w:b/>
          <w:sz w:val="16"/>
          <w:szCs w:val="16"/>
          <w:lang w:val="es-CL" w:eastAsia="es-CL"/>
        </w:rPr>
        <w:t>Subdirección Técnica</w:t>
      </w:r>
    </w:p>
    <w:p w:rsidR="007A4747" w:rsidRPr="00403809" w:rsidRDefault="00446D9A" w:rsidP="007A4747">
      <w:pPr>
        <w:autoSpaceDE w:val="0"/>
        <w:autoSpaceDN w:val="0"/>
        <w:adjustRightInd w:val="0"/>
        <w:rPr>
          <w:rFonts w:ascii="Verdana" w:hAnsi="Verdana" w:cs="Verdana"/>
          <w:b/>
          <w:sz w:val="16"/>
          <w:szCs w:val="16"/>
          <w:lang w:val="es-CL" w:eastAsia="es-CL"/>
        </w:rPr>
      </w:pPr>
      <w:proofErr w:type="spellStart"/>
      <w:r w:rsidRPr="00403809">
        <w:rPr>
          <w:rFonts w:ascii="Verdana" w:hAnsi="Verdana" w:cs="Verdana"/>
          <w:b/>
          <w:sz w:val="16"/>
          <w:szCs w:val="16"/>
          <w:lang w:val="es-CL" w:eastAsia="es-CL"/>
        </w:rPr>
        <w:t>Subdepto</w:t>
      </w:r>
      <w:proofErr w:type="spellEnd"/>
      <w:r w:rsidRPr="00403809">
        <w:rPr>
          <w:rFonts w:ascii="Verdana" w:hAnsi="Verdana" w:cs="Verdana"/>
          <w:b/>
          <w:sz w:val="16"/>
          <w:szCs w:val="16"/>
          <w:lang w:val="es-CL" w:eastAsia="es-CL"/>
        </w:rPr>
        <w:t xml:space="preserve"> Normas Generales</w:t>
      </w:r>
    </w:p>
    <w:p w:rsidR="00250A1A" w:rsidRDefault="00646512" w:rsidP="00250A1A">
      <w:pPr>
        <w:jc w:val="both"/>
        <w:rPr>
          <w:rFonts w:ascii="Verdana" w:hAnsi="Verdana"/>
          <w:b/>
          <w:sz w:val="22"/>
          <w:szCs w:val="22"/>
          <w:lang w:val="es-CL" w:eastAsia="es-CL"/>
        </w:rPr>
      </w:pPr>
      <w:r w:rsidRPr="00D17BCE">
        <w:rPr>
          <w:rFonts w:ascii="Verdana" w:hAnsi="Verdana"/>
          <w:b/>
          <w:sz w:val="22"/>
          <w:szCs w:val="22"/>
          <w:lang w:val="es-CL" w:eastAsia="es-CL"/>
        </w:rPr>
        <w:t xml:space="preserve">                                                   </w:t>
      </w:r>
      <w:r w:rsidR="00250A1A">
        <w:rPr>
          <w:rFonts w:ascii="Verdana" w:hAnsi="Verdana"/>
          <w:b/>
          <w:sz w:val="22"/>
          <w:szCs w:val="22"/>
          <w:lang w:val="es-CL" w:eastAsia="es-CL"/>
        </w:rPr>
        <w:t xml:space="preserve">    RESOLUCION EXENTA N°</w:t>
      </w:r>
    </w:p>
    <w:p w:rsidR="00250A1A" w:rsidRDefault="00250A1A" w:rsidP="00250A1A">
      <w:pPr>
        <w:jc w:val="both"/>
        <w:rPr>
          <w:rFonts w:ascii="Verdana" w:hAnsi="Verdana"/>
          <w:b/>
          <w:sz w:val="22"/>
          <w:szCs w:val="22"/>
          <w:lang w:val="es-CL" w:eastAsia="es-CL"/>
        </w:rPr>
      </w:pPr>
    </w:p>
    <w:p w:rsidR="00250A1A" w:rsidRDefault="00250A1A" w:rsidP="00250A1A">
      <w:pPr>
        <w:jc w:val="both"/>
        <w:rPr>
          <w:rFonts w:ascii="Verdana" w:hAnsi="Verdana"/>
          <w:b/>
          <w:sz w:val="22"/>
          <w:szCs w:val="22"/>
          <w:lang w:val="es-CL" w:eastAsia="es-CL"/>
        </w:rPr>
      </w:pPr>
      <w:r>
        <w:rPr>
          <w:rFonts w:ascii="Verdana" w:hAnsi="Verdana"/>
          <w:b/>
          <w:sz w:val="22"/>
          <w:szCs w:val="22"/>
          <w:lang w:val="es-CL" w:eastAsia="es-CL"/>
        </w:rPr>
        <w:t xml:space="preserve">                                                       VALPARAISO,</w:t>
      </w:r>
    </w:p>
    <w:p w:rsidR="00250A1A" w:rsidRDefault="00250A1A" w:rsidP="00250A1A">
      <w:pPr>
        <w:jc w:val="both"/>
        <w:rPr>
          <w:rFonts w:ascii="Verdana" w:hAnsi="Verdana"/>
          <w:b/>
          <w:sz w:val="22"/>
          <w:szCs w:val="22"/>
          <w:lang w:val="es-CL" w:eastAsia="es-CL"/>
        </w:rPr>
      </w:pPr>
    </w:p>
    <w:p w:rsidR="00250A1A" w:rsidRPr="008A4A6A" w:rsidRDefault="00250A1A" w:rsidP="00250A1A">
      <w:pPr>
        <w:jc w:val="both"/>
        <w:rPr>
          <w:rFonts w:ascii="Verdana" w:hAnsi="Verdana"/>
          <w:sz w:val="22"/>
          <w:szCs w:val="22"/>
          <w:lang w:val="es-CL" w:eastAsia="es-CL"/>
        </w:rPr>
      </w:pPr>
      <w:r>
        <w:rPr>
          <w:rFonts w:ascii="Verdana" w:hAnsi="Verdana"/>
          <w:b/>
          <w:sz w:val="22"/>
          <w:szCs w:val="22"/>
          <w:lang w:val="es-CL" w:eastAsia="es-CL"/>
        </w:rPr>
        <w:t xml:space="preserve">                                                       VISTOS</w:t>
      </w:r>
      <w:r w:rsidR="008A4A6A">
        <w:rPr>
          <w:rFonts w:ascii="Verdana" w:hAnsi="Verdana"/>
          <w:b/>
          <w:sz w:val="22"/>
          <w:szCs w:val="22"/>
          <w:lang w:val="es-CL" w:eastAsia="es-CL"/>
        </w:rPr>
        <w:t>:</w:t>
      </w:r>
      <w:r>
        <w:rPr>
          <w:rFonts w:ascii="Verdana" w:hAnsi="Verdana"/>
          <w:b/>
          <w:sz w:val="22"/>
          <w:szCs w:val="22"/>
          <w:lang w:val="es-CL" w:eastAsia="es-CL"/>
        </w:rPr>
        <w:t xml:space="preserve"> </w:t>
      </w:r>
      <w:r w:rsidRPr="008A4A6A">
        <w:rPr>
          <w:rFonts w:ascii="Verdana" w:hAnsi="Verdana"/>
          <w:sz w:val="22"/>
          <w:szCs w:val="22"/>
          <w:lang w:val="es-CL" w:eastAsia="es-CL"/>
        </w:rPr>
        <w:t>La Resolución N° 1300 de fecha 14.03.20006, de esta Dirección Nacional, que sustituyó el Compendio de Normas Aduaneras.</w:t>
      </w:r>
    </w:p>
    <w:p w:rsidR="00250A1A" w:rsidRPr="008A4A6A" w:rsidRDefault="00250A1A" w:rsidP="00250A1A">
      <w:pPr>
        <w:jc w:val="both"/>
        <w:rPr>
          <w:rFonts w:ascii="Verdana" w:hAnsi="Verdana"/>
          <w:sz w:val="22"/>
          <w:szCs w:val="22"/>
          <w:lang w:val="es-CL" w:eastAsia="es-CL"/>
        </w:rPr>
      </w:pPr>
    </w:p>
    <w:p w:rsidR="008A4A6A" w:rsidRDefault="00250A1A" w:rsidP="00250A1A">
      <w:pPr>
        <w:jc w:val="both"/>
        <w:rPr>
          <w:rFonts w:ascii="Verdana" w:hAnsi="Verdana"/>
          <w:sz w:val="22"/>
          <w:szCs w:val="22"/>
          <w:lang w:val="es-CL" w:eastAsia="es-CL"/>
        </w:rPr>
      </w:pPr>
      <w:r w:rsidRPr="008A4A6A">
        <w:rPr>
          <w:rFonts w:ascii="Verdana" w:hAnsi="Verdana"/>
          <w:sz w:val="22"/>
          <w:szCs w:val="22"/>
          <w:lang w:val="es-CL" w:eastAsia="es-CL"/>
        </w:rPr>
        <w:t xml:space="preserve">                                                      </w:t>
      </w:r>
      <w:r w:rsidR="008A4A6A" w:rsidRPr="008A4A6A">
        <w:rPr>
          <w:rFonts w:ascii="Verdana" w:hAnsi="Verdana"/>
          <w:sz w:val="22"/>
          <w:szCs w:val="22"/>
          <w:lang w:val="es-CL" w:eastAsia="es-CL"/>
        </w:rPr>
        <w:t xml:space="preserve"> La Resolución N°5449 de 20.05.2013 que impartió instrucciones para la confección de las declaraciones de ingreso, para aquellas operaciones de importación, cuya cláusula de compraventa internacional ha sido pactada bajo el Incoterms 2010, denominado Franco Porteador, cuya sigla es FCA.</w:t>
      </w:r>
      <w:r w:rsidR="00646512" w:rsidRPr="008A4A6A">
        <w:rPr>
          <w:rFonts w:ascii="Verdana" w:hAnsi="Verdana"/>
          <w:sz w:val="22"/>
          <w:szCs w:val="22"/>
          <w:lang w:val="es-CL" w:eastAsia="es-CL"/>
        </w:rPr>
        <w:t xml:space="preserve">     </w:t>
      </w:r>
    </w:p>
    <w:p w:rsidR="008A4A6A" w:rsidRDefault="00F27991" w:rsidP="00250A1A">
      <w:pPr>
        <w:jc w:val="both"/>
        <w:rPr>
          <w:rFonts w:ascii="Verdana" w:hAnsi="Verdana"/>
          <w:sz w:val="22"/>
          <w:szCs w:val="22"/>
          <w:lang w:val="es-CL" w:eastAsia="es-CL"/>
        </w:rPr>
      </w:pPr>
      <w:r>
        <w:rPr>
          <w:rFonts w:ascii="Verdana" w:hAnsi="Verdana"/>
          <w:sz w:val="22"/>
          <w:szCs w:val="22"/>
          <w:lang w:val="es-CL" w:eastAsia="es-CL"/>
        </w:rPr>
        <w:t xml:space="preserve">                                                     </w:t>
      </w:r>
    </w:p>
    <w:p w:rsidR="00F27991" w:rsidRDefault="00F27991" w:rsidP="00250A1A">
      <w:pPr>
        <w:jc w:val="both"/>
        <w:rPr>
          <w:rFonts w:ascii="Verdana" w:hAnsi="Verdana"/>
          <w:sz w:val="22"/>
          <w:szCs w:val="22"/>
          <w:lang w:val="es-CL" w:eastAsia="es-CL"/>
        </w:rPr>
      </w:pPr>
      <w:r>
        <w:rPr>
          <w:rFonts w:ascii="Verdana" w:hAnsi="Verdana"/>
          <w:sz w:val="22"/>
          <w:szCs w:val="22"/>
          <w:lang w:val="es-CL" w:eastAsia="es-CL"/>
        </w:rPr>
        <w:t xml:space="preserve">                                                     La Nota N°021872013 DE LA Cámara Aduanera de Chile AG., en la cual se solicita la revisión de las instrucciones de la referida Resolución N° 5449/2013, por cuanto a juicio de esa entidad la cláusula FCA es equivalente al término FOB, y por lo tanto no correspondería aplicar ajustes de ningún tipo.</w:t>
      </w:r>
    </w:p>
    <w:p w:rsidR="008A4A6A" w:rsidRPr="00F27991" w:rsidRDefault="008A4A6A" w:rsidP="00250A1A">
      <w:pPr>
        <w:jc w:val="both"/>
        <w:rPr>
          <w:rFonts w:ascii="Verdana" w:hAnsi="Verdana"/>
          <w:b/>
          <w:sz w:val="22"/>
          <w:szCs w:val="22"/>
          <w:lang w:val="es-CL" w:eastAsia="es-CL"/>
        </w:rPr>
      </w:pPr>
      <w:r>
        <w:rPr>
          <w:rFonts w:ascii="Verdana" w:hAnsi="Verdana"/>
          <w:sz w:val="22"/>
          <w:szCs w:val="22"/>
          <w:lang w:val="es-CL" w:eastAsia="es-CL"/>
        </w:rPr>
        <w:t xml:space="preserve">                                                      </w:t>
      </w:r>
    </w:p>
    <w:p w:rsidR="008A4A6A" w:rsidRDefault="008A4A6A" w:rsidP="00250A1A">
      <w:pPr>
        <w:jc w:val="both"/>
        <w:rPr>
          <w:rFonts w:ascii="Verdana" w:hAnsi="Verdana"/>
          <w:sz w:val="22"/>
          <w:szCs w:val="22"/>
          <w:lang w:val="es-CL" w:eastAsia="es-CL"/>
        </w:rPr>
      </w:pPr>
      <w:r w:rsidRPr="00F27991">
        <w:rPr>
          <w:rFonts w:ascii="Verdana" w:hAnsi="Verdana"/>
          <w:b/>
          <w:sz w:val="22"/>
          <w:szCs w:val="22"/>
          <w:lang w:val="es-CL" w:eastAsia="es-CL"/>
        </w:rPr>
        <w:t xml:space="preserve">                                                     </w:t>
      </w:r>
      <w:r w:rsidR="00F27991" w:rsidRPr="00F27991">
        <w:rPr>
          <w:rFonts w:ascii="Verdana" w:hAnsi="Verdana"/>
          <w:b/>
          <w:sz w:val="22"/>
          <w:szCs w:val="22"/>
          <w:lang w:val="es-CL" w:eastAsia="es-CL"/>
        </w:rPr>
        <w:t>CONSIDERANDO:</w:t>
      </w:r>
      <w:r w:rsidR="00F27991">
        <w:rPr>
          <w:rFonts w:ascii="Verdana" w:hAnsi="Verdana"/>
          <w:sz w:val="22"/>
          <w:szCs w:val="22"/>
          <w:lang w:val="es-CL" w:eastAsia="es-CL"/>
        </w:rPr>
        <w:t xml:space="preserve"> Que se ha estimado necesario precisar los siguientes alcances sobre esta materia, a objeto de establecer la uniformidad en su aplicación.</w:t>
      </w:r>
    </w:p>
    <w:p w:rsidR="00F27991" w:rsidRDefault="00F27991" w:rsidP="00250A1A">
      <w:pPr>
        <w:jc w:val="both"/>
        <w:rPr>
          <w:rFonts w:ascii="Verdana" w:hAnsi="Verdana"/>
          <w:sz w:val="22"/>
          <w:szCs w:val="22"/>
          <w:lang w:val="es-CL" w:eastAsia="es-CL"/>
        </w:rPr>
      </w:pPr>
    </w:p>
    <w:p w:rsidR="005E12FB" w:rsidRPr="000D7E5F" w:rsidRDefault="00F27991" w:rsidP="005E12FB">
      <w:pPr>
        <w:jc w:val="both"/>
        <w:rPr>
          <w:rFonts w:ascii="Verdana" w:hAnsi="Verdana"/>
          <w:sz w:val="22"/>
          <w:szCs w:val="22"/>
          <w:lang w:val="es-CL" w:eastAsia="es-CL"/>
        </w:rPr>
      </w:pPr>
      <w:r>
        <w:rPr>
          <w:rFonts w:ascii="Verdana" w:hAnsi="Verdana"/>
          <w:sz w:val="22"/>
          <w:szCs w:val="22"/>
          <w:lang w:val="es-CL" w:eastAsia="es-CL"/>
        </w:rPr>
        <w:t xml:space="preserve">                                                    </w:t>
      </w:r>
      <w:r w:rsidR="005E12FB">
        <w:rPr>
          <w:rFonts w:ascii="Verdana" w:hAnsi="Verdana"/>
          <w:sz w:val="22"/>
          <w:szCs w:val="22"/>
          <w:lang w:val="es-CL" w:eastAsia="es-CL"/>
        </w:rPr>
        <w:t xml:space="preserve">  Que,</w:t>
      </w:r>
      <w:r w:rsidR="005E12FB" w:rsidRPr="000D7E5F">
        <w:rPr>
          <w:rFonts w:ascii="Verdana" w:hAnsi="Verdana"/>
          <w:sz w:val="22"/>
          <w:szCs w:val="22"/>
          <w:lang w:val="es-CL" w:eastAsia="es-CL"/>
        </w:rPr>
        <w:t xml:space="preserve"> los </w:t>
      </w:r>
      <w:proofErr w:type="spellStart"/>
      <w:r w:rsidR="005E12FB" w:rsidRPr="000D7E5F">
        <w:rPr>
          <w:rFonts w:ascii="Verdana" w:hAnsi="Verdana"/>
          <w:sz w:val="22"/>
          <w:szCs w:val="22"/>
          <w:lang w:val="es-CL" w:eastAsia="es-CL"/>
        </w:rPr>
        <w:t>Incoterms</w:t>
      </w:r>
      <w:proofErr w:type="spellEnd"/>
      <w:r w:rsidR="005E12FB" w:rsidRPr="000D7E5F">
        <w:rPr>
          <w:rFonts w:ascii="Verdana" w:hAnsi="Verdana"/>
          <w:sz w:val="22"/>
          <w:szCs w:val="22"/>
          <w:lang w:val="es-CL" w:eastAsia="es-CL"/>
        </w:rPr>
        <w:t xml:space="preserve"> 2010 de la CCI,</w:t>
      </w:r>
      <w:r w:rsidR="005E12FB">
        <w:rPr>
          <w:rFonts w:ascii="Verdana" w:hAnsi="Verdana"/>
          <w:sz w:val="22"/>
          <w:szCs w:val="22"/>
          <w:lang w:val="es-CL" w:eastAsia="es-CL"/>
        </w:rPr>
        <w:t xml:space="preserve"> se</w:t>
      </w:r>
      <w:r w:rsidR="005E12FB" w:rsidRPr="000D7E5F">
        <w:rPr>
          <w:rFonts w:ascii="Verdana" w:hAnsi="Verdana"/>
          <w:sz w:val="22"/>
          <w:szCs w:val="22"/>
          <w:lang w:val="es-CL" w:eastAsia="es-CL"/>
        </w:rPr>
        <w:t xml:space="preserve"> agrupa</w:t>
      </w:r>
      <w:r w:rsidR="005E12FB">
        <w:rPr>
          <w:rFonts w:ascii="Verdana" w:hAnsi="Verdana"/>
          <w:sz w:val="22"/>
          <w:szCs w:val="22"/>
          <w:lang w:val="es-CL" w:eastAsia="es-CL"/>
        </w:rPr>
        <w:t>n</w:t>
      </w:r>
      <w:r w:rsidR="005E12FB" w:rsidRPr="000D7E5F">
        <w:rPr>
          <w:rFonts w:ascii="Verdana" w:hAnsi="Verdana"/>
          <w:sz w:val="22"/>
          <w:szCs w:val="22"/>
          <w:lang w:val="es-CL" w:eastAsia="es-CL"/>
        </w:rPr>
        <w:t xml:space="preserve"> en cuatro categorías: E, F, C y D. En la categoría F se describen las cláusulas FCA, FAS y FOB , todas las cuales disponen regulaciones  diferentes en cuanto a los principales aspectos de los contratos de compraventa, entre éstas: la entrega de las mercancías, la transmisión del riesgo, la distribución de los gastos, los documentos involucrados, etc.</w:t>
      </w:r>
    </w:p>
    <w:p w:rsidR="005E12FB" w:rsidRPr="000D7E5F" w:rsidRDefault="005E12FB" w:rsidP="005E12FB">
      <w:pPr>
        <w:ind w:left="708" w:hanging="708"/>
        <w:jc w:val="both"/>
        <w:rPr>
          <w:rFonts w:ascii="Verdana" w:hAnsi="Verdana"/>
          <w:sz w:val="22"/>
          <w:szCs w:val="22"/>
          <w:lang w:val="es-CL" w:eastAsia="es-CL"/>
        </w:rPr>
      </w:pPr>
    </w:p>
    <w:p w:rsidR="005E12FB" w:rsidRPr="000D7E5F" w:rsidRDefault="005E12FB" w:rsidP="005E12FB">
      <w:pPr>
        <w:jc w:val="both"/>
        <w:rPr>
          <w:rFonts w:ascii="Verdana" w:hAnsi="Verdana"/>
          <w:sz w:val="22"/>
          <w:szCs w:val="22"/>
          <w:lang w:val="es-CL" w:eastAsia="es-CL"/>
        </w:rPr>
      </w:pPr>
      <w:r>
        <w:rPr>
          <w:rFonts w:ascii="Verdana" w:hAnsi="Verdana"/>
          <w:b/>
          <w:sz w:val="22"/>
          <w:szCs w:val="22"/>
          <w:lang w:val="es-CL" w:eastAsia="es-CL"/>
        </w:rPr>
        <w:t xml:space="preserve">                                                      </w:t>
      </w:r>
      <w:r w:rsidRPr="009158CA">
        <w:rPr>
          <w:rFonts w:ascii="Verdana" w:hAnsi="Verdana"/>
          <w:sz w:val="22"/>
          <w:szCs w:val="22"/>
          <w:lang w:val="es-CL" w:eastAsia="es-CL"/>
        </w:rPr>
        <w:t>Que, en</w:t>
      </w:r>
      <w:r w:rsidRPr="000D7E5F">
        <w:rPr>
          <w:rFonts w:ascii="Verdana" w:hAnsi="Verdana"/>
          <w:sz w:val="22"/>
          <w:szCs w:val="22"/>
          <w:lang w:val="es-CL" w:eastAsia="es-CL"/>
        </w:rPr>
        <w:t xml:space="preserve"> general el grupo F significa que la entrega de las mercancías es sin pago del transporte principal, y, en este sentido, es una entrega indirecta.</w:t>
      </w:r>
    </w:p>
    <w:p w:rsidR="005E12FB" w:rsidRPr="000D7E5F" w:rsidRDefault="005E12FB" w:rsidP="005E12FB">
      <w:pPr>
        <w:ind w:left="708" w:hanging="708"/>
        <w:jc w:val="both"/>
        <w:rPr>
          <w:rFonts w:ascii="Verdana" w:hAnsi="Verdana"/>
          <w:sz w:val="22"/>
          <w:szCs w:val="22"/>
          <w:lang w:val="es-CL" w:eastAsia="es-CL"/>
        </w:rPr>
      </w:pPr>
    </w:p>
    <w:p w:rsidR="005E12FB" w:rsidRPr="000D7E5F" w:rsidRDefault="005E12FB" w:rsidP="009158CA">
      <w:pPr>
        <w:jc w:val="both"/>
        <w:rPr>
          <w:rFonts w:ascii="Verdana" w:hAnsi="Verdana"/>
          <w:sz w:val="22"/>
          <w:szCs w:val="22"/>
          <w:lang w:val="es-CL" w:eastAsia="es-CL"/>
        </w:rPr>
      </w:pPr>
      <w:r w:rsidRPr="000D7E5F">
        <w:rPr>
          <w:rFonts w:ascii="Verdana" w:hAnsi="Verdana"/>
          <w:sz w:val="22"/>
          <w:szCs w:val="22"/>
          <w:lang w:val="es-CL" w:eastAsia="es-CL"/>
        </w:rPr>
        <w:t xml:space="preserve">     </w:t>
      </w:r>
      <w:r>
        <w:rPr>
          <w:rFonts w:ascii="Verdana" w:hAnsi="Verdana"/>
          <w:sz w:val="22"/>
          <w:szCs w:val="22"/>
          <w:lang w:val="es-CL" w:eastAsia="es-CL"/>
        </w:rPr>
        <w:tab/>
      </w:r>
      <w:r w:rsidRPr="000D7E5F">
        <w:rPr>
          <w:rFonts w:ascii="Verdana" w:hAnsi="Verdana"/>
          <w:sz w:val="22"/>
          <w:szCs w:val="22"/>
          <w:lang w:val="es-CL" w:eastAsia="es-CL"/>
        </w:rPr>
        <w:t xml:space="preserve"> </w:t>
      </w:r>
      <w:r w:rsidR="009158CA">
        <w:rPr>
          <w:rFonts w:ascii="Verdana" w:hAnsi="Verdana"/>
          <w:sz w:val="22"/>
          <w:szCs w:val="22"/>
          <w:lang w:val="es-CL" w:eastAsia="es-CL"/>
        </w:rPr>
        <w:t xml:space="preserve">                                            Que, l</w:t>
      </w:r>
      <w:r w:rsidRPr="000D7E5F">
        <w:rPr>
          <w:rFonts w:ascii="Verdana" w:hAnsi="Verdana"/>
          <w:sz w:val="22"/>
          <w:szCs w:val="22"/>
          <w:lang w:val="es-CL" w:eastAsia="es-CL"/>
        </w:rPr>
        <w:t xml:space="preserve">a cláusula  FCA o Free </w:t>
      </w:r>
      <w:proofErr w:type="spellStart"/>
      <w:r w:rsidRPr="000D7E5F">
        <w:rPr>
          <w:rFonts w:ascii="Verdana" w:hAnsi="Verdana"/>
          <w:sz w:val="22"/>
          <w:szCs w:val="22"/>
          <w:lang w:val="es-CL" w:eastAsia="es-CL"/>
        </w:rPr>
        <w:t>Carrier</w:t>
      </w:r>
      <w:proofErr w:type="spellEnd"/>
      <w:r w:rsidRPr="000D7E5F">
        <w:rPr>
          <w:rFonts w:ascii="Verdana" w:hAnsi="Verdana"/>
          <w:sz w:val="22"/>
          <w:szCs w:val="22"/>
          <w:lang w:val="es-CL" w:eastAsia="es-CL"/>
        </w:rPr>
        <w:t xml:space="preserve"> o Franco Transportista (lugar convenido),  según los </w:t>
      </w:r>
      <w:proofErr w:type="spellStart"/>
      <w:r w:rsidRPr="000D7E5F">
        <w:rPr>
          <w:rFonts w:ascii="Verdana" w:hAnsi="Verdana"/>
          <w:sz w:val="22"/>
          <w:szCs w:val="22"/>
          <w:lang w:val="es-CL" w:eastAsia="es-CL"/>
        </w:rPr>
        <w:t>Incotems</w:t>
      </w:r>
      <w:proofErr w:type="spellEnd"/>
      <w:r w:rsidRPr="000D7E5F">
        <w:rPr>
          <w:rFonts w:ascii="Verdana" w:hAnsi="Verdana"/>
          <w:sz w:val="22"/>
          <w:szCs w:val="22"/>
          <w:lang w:val="es-CL" w:eastAsia="es-CL"/>
        </w:rPr>
        <w:t xml:space="preserve"> 2010 de la CCI significa: “que la empresa vendedora entrega la mercancía al porteador o a otra persona designada por la empresa compradora en las instalaciones de la empresa vendedora o en otro lugar designado”.</w:t>
      </w:r>
    </w:p>
    <w:p w:rsidR="005E12FB" w:rsidRPr="000D7E5F" w:rsidRDefault="005E12FB" w:rsidP="005E12FB">
      <w:pPr>
        <w:ind w:left="708" w:hanging="708"/>
        <w:jc w:val="both"/>
        <w:rPr>
          <w:rFonts w:ascii="Verdana" w:hAnsi="Verdana"/>
          <w:sz w:val="22"/>
          <w:szCs w:val="22"/>
          <w:lang w:val="es-CL" w:eastAsia="es-CL"/>
        </w:rPr>
      </w:pPr>
    </w:p>
    <w:p w:rsidR="00310B51" w:rsidRPr="000D7E5F" w:rsidRDefault="005E12FB" w:rsidP="00310B51">
      <w:pPr>
        <w:jc w:val="both"/>
        <w:rPr>
          <w:rFonts w:ascii="Verdana" w:hAnsi="Verdana"/>
          <w:sz w:val="22"/>
          <w:szCs w:val="22"/>
          <w:lang w:val="es-CL" w:eastAsia="es-CL"/>
        </w:rPr>
      </w:pPr>
      <w:r w:rsidRPr="000D7E5F">
        <w:rPr>
          <w:rFonts w:ascii="Verdana" w:hAnsi="Verdana"/>
          <w:sz w:val="22"/>
          <w:szCs w:val="22"/>
          <w:lang w:val="es-CL" w:eastAsia="es-CL"/>
        </w:rPr>
        <w:t xml:space="preserve">    </w:t>
      </w:r>
      <w:r>
        <w:rPr>
          <w:rFonts w:ascii="Verdana" w:hAnsi="Verdana"/>
          <w:sz w:val="22"/>
          <w:szCs w:val="22"/>
          <w:lang w:val="es-CL" w:eastAsia="es-CL"/>
        </w:rPr>
        <w:tab/>
      </w:r>
      <w:r w:rsidRPr="000D7E5F">
        <w:rPr>
          <w:rFonts w:ascii="Verdana" w:hAnsi="Verdana"/>
          <w:sz w:val="22"/>
          <w:szCs w:val="22"/>
          <w:lang w:val="es-CL" w:eastAsia="es-CL"/>
        </w:rPr>
        <w:t xml:space="preserve"> </w:t>
      </w:r>
      <w:r w:rsidR="009158CA">
        <w:rPr>
          <w:rFonts w:ascii="Verdana" w:hAnsi="Verdana"/>
          <w:sz w:val="22"/>
          <w:szCs w:val="22"/>
          <w:lang w:val="es-CL" w:eastAsia="es-CL"/>
        </w:rPr>
        <w:t xml:space="preserve">                                             Que, por otra</w:t>
      </w:r>
      <w:r w:rsidRPr="000D7E5F">
        <w:rPr>
          <w:rFonts w:ascii="Verdana" w:hAnsi="Verdana"/>
          <w:sz w:val="22"/>
          <w:szCs w:val="22"/>
          <w:lang w:val="es-CL" w:eastAsia="es-CL"/>
        </w:rPr>
        <w:t xml:space="preserve"> parte, la cláusula FOB o Free </w:t>
      </w:r>
      <w:proofErr w:type="spellStart"/>
      <w:r w:rsidRPr="000D7E5F">
        <w:rPr>
          <w:rFonts w:ascii="Verdana" w:hAnsi="Verdana"/>
          <w:sz w:val="22"/>
          <w:szCs w:val="22"/>
          <w:lang w:val="es-CL" w:eastAsia="es-CL"/>
        </w:rPr>
        <w:t>on</w:t>
      </w:r>
      <w:proofErr w:type="spellEnd"/>
      <w:r w:rsidRPr="000D7E5F">
        <w:rPr>
          <w:rFonts w:ascii="Verdana" w:hAnsi="Verdana"/>
          <w:sz w:val="22"/>
          <w:szCs w:val="22"/>
          <w:lang w:val="es-CL" w:eastAsia="es-CL"/>
        </w:rPr>
        <w:t xml:space="preserve"> </w:t>
      </w:r>
      <w:proofErr w:type="spellStart"/>
      <w:r w:rsidRPr="000D7E5F">
        <w:rPr>
          <w:rFonts w:ascii="Verdana" w:hAnsi="Verdana"/>
          <w:sz w:val="22"/>
          <w:szCs w:val="22"/>
          <w:lang w:val="es-CL" w:eastAsia="es-CL"/>
        </w:rPr>
        <w:t>Board</w:t>
      </w:r>
      <w:proofErr w:type="spellEnd"/>
      <w:r w:rsidRPr="000D7E5F">
        <w:rPr>
          <w:rFonts w:ascii="Verdana" w:hAnsi="Verdana"/>
          <w:sz w:val="22"/>
          <w:szCs w:val="22"/>
          <w:lang w:val="es-CL" w:eastAsia="es-CL"/>
        </w:rPr>
        <w:t xml:space="preserve"> o Franco a Bordo (libre a bordo), significa que el vendedor entrega las mercancías sobre el buque. El vendedor puede contratar el transporte principal, pero el costo de éste lo asume el comprador.</w:t>
      </w:r>
      <w:r w:rsidR="00310B51">
        <w:rPr>
          <w:rFonts w:ascii="Verdana" w:hAnsi="Verdana"/>
          <w:sz w:val="22"/>
          <w:szCs w:val="22"/>
          <w:lang w:val="es-CL" w:eastAsia="es-CL"/>
        </w:rPr>
        <w:t xml:space="preserve"> Conforme a lo anterior,</w:t>
      </w:r>
      <w:r w:rsidRPr="000D7E5F">
        <w:rPr>
          <w:rFonts w:ascii="Verdana" w:hAnsi="Verdana"/>
          <w:sz w:val="22"/>
          <w:szCs w:val="22"/>
          <w:lang w:val="es-CL" w:eastAsia="es-CL"/>
        </w:rPr>
        <w:t xml:space="preserve"> estas dos </w:t>
      </w:r>
      <w:r w:rsidR="00310B51">
        <w:rPr>
          <w:rFonts w:ascii="Verdana" w:hAnsi="Verdana"/>
          <w:sz w:val="22"/>
          <w:szCs w:val="22"/>
          <w:lang w:val="es-CL" w:eastAsia="es-CL"/>
        </w:rPr>
        <w:t xml:space="preserve">cláusulas son distintas y no se </w:t>
      </w:r>
      <w:r w:rsidRPr="000D7E5F">
        <w:rPr>
          <w:rFonts w:ascii="Verdana" w:hAnsi="Verdana"/>
          <w:sz w:val="22"/>
          <w:szCs w:val="22"/>
          <w:lang w:val="es-CL" w:eastAsia="es-CL"/>
        </w:rPr>
        <w:t>asimilan la una con la otra.</w:t>
      </w:r>
      <w:r w:rsidR="00310B51">
        <w:rPr>
          <w:rFonts w:ascii="Verdana" w:hAnsi="Verdana"/>
          <w:sz w:val="22"/>
          <w:szCs w:val="22"/>
          <w:lang w:val="es-CL" w:eastAsia="es-CL"/>
        </w:rPr>
        <w:t xml:space="preserve"> </w:t>
      </w:r>
      <w:r w:rsidR="00310B51" w:rsidRPr="000D7E5F">
        <w:rPr>
          <w:rFonts w:ascii="Verdana" w:hAnsi="Verdana"/>
          <w:sz w:val="22"/>
          <w:szCs w:val="22"/>
          <w:lang w:val="es-CL" w:eastAsia="es-CL"/>
        </w:rPr>
        <w:t xml:space="preserve">Por otra parte, es importante reiterar que nuestra legislación establece que el valor en aduana deberá incluir: </w:t>
      </w:r>
    </w:p>
    <w:p w:rsidR="00310B51" w:rsidRPr="000D7E5F" w:rsidRDefault="00310B51" w:rsidP="00310B51">
      <w:pPr>
        <w:ind w:left="708" w:hanging="708"/>
        <w:jc w:val="both"/>
        <w:rPr>
          <w:rFonts w:ascii="Verdana" w:hAnsi="Verdana"/>
          <w:sz w:val="22"/>
          <w:szCs w:val="22"/>
          <w:lang w:val="es-CL" w:eastAsia="es-CL"/>
        </w:rPr>
      </w:pPr>
    </w:p>
    <w:p w:rsidR="00310B51" w:rsidRPr="000D7E5F" w:rsidRDefault="00310B51" w:rsidP="00310B51">
      <w:pPr>
        <w:jc w:val="both"/>
        <w:rPr>
          <w:rFonts w:ascii="Verdana" w:hAnsi="Verdana"/>
          <w:sz w:val="22"/>
          <w:szCs w:val="22"/>
          <w:lang w:val="es-CL" w:eastAsia="es-CL"/>
        </w:rPr>
      </w:pPr>
      <w:r>
        <w:rPr>
          <w:rFonts w:ascii="Verdana" w:hAnsi="Verdana"/>
          <w:sz w:val="22"/>
          <w:szCs w:val="22"/>
          <w:lang w:val="es-CL" w:eastAsia="es-CL"/>
        </w:rPr>
        <w:t>Los</w:t>
      </w:r>
      <w:r w:rsidRPr="000D7E5F">
        <w:rPr>
          <w:rFonts w:ascii="Verdana" w:hAnsi="Verdana"/>
          <w:sz w:val="22"/>
          <w:szCs w:val="22"/>
          <w:lang w:val="es-CL" w:eastAsia="es-CL"/>
        </w:rPr>
        <w:t xml:space="preserve"> gastos de transporte de las mercancías que se importan hasta el puerto o lugar de importación.</w:t>
      </w:r>
    </w:p>
    <w:p w:rsidR="00310B51" w:rsidRPr="000D7E5F" w:rsidRDefault="00310B51" w:rsidP="00310B51">
      <w:pPr>
        <w:jc w:val="both"/>
        <w:rPr>
          <w:rFonts w:ascii="Verdana" w:hAnsi="Verdana"/>
          <w:sz w:val="22"/>
          <w:szCs w:val="22"/>
          <w:lang w:val="es-CL" w:eastAsia="es-CL"/>
        </w:rPr>
      </w:pPr>
      <w:r w:rsidRPr="000D7E5F">
        <w:rPr>
          <w:rFonts w:ascii="Verdana" w:hAnsi="Verdana"/>
          <w:sz w:val="22"/>
          <w:szCs w:val="22"/>
          <w:lang w:val="es-CL" w:eastAsia="es-CL"/>
        </w:rPr>
        <w:t>Los gastos de carga, descarga y manipulación ocasionados por el transporte de las mercancías que  se importan hasta el puerto o lugar de importación, y</w:t>
      </w:r>
      <w:r>
        <w:rPr>
          <w:rFonts w:ascii="Verdana" w:hAnsi="Verdana"/>
          <w:sz w:val="22"/>
          <w:szCs w:val="22"/>
          <w:lang w:val="es-CL" w:eastAsia="es-CL"/>
        </w:rPr>
        <w:t xml:space="preserve"> e</w:t>
      </w:r>
      <w:r w:rsidRPr="000D7E5F">
        <w:rPr>
          <w:rFonts w:ascii="Verdana" w:hAnsi="Verdana"/>
          <w:sz w:val="22"/>
          <w:szCs w:val="22"/>
          <w:lang w:val="es-CL" w:eastAsia="es-CL"/>
        </w:rPr>
        <w:t>l costo del seguro.</w:t>
      </w:r>
    </w:p>
    <w:p w:rsidR="00310B51" w:rsidRPr="000D7E5F" w:rsidRDefault="00310B51" w:rsidP="00310B51">
      <w:pPr>
        <w:ind w:left="708" w:hanging="708"/>
        <w:jc w:val="both"/>
        <w:rPr>
          <w:rFonts w:ascii="Verdana" w:hAnsi="Verdana"/>
          <w:sz w:val="22"/>
          <w:szCs w:val="22"/>
          <w:lang w:val="es-CL" w:eastAsia="es-CL"/>
        </w:rPr>
      </w:pPr>
    </w:p>
    <w:p w:rsidR="00310B51" w:rsidRPr="000D7E5F" w:rsidRDefault="00310B51" w:rsidP="00403809">
      <w:pPr>
        <w:jc w:val="both"/>
        <w:rPr>
          <w:rFonts w:ascii="Verdana" w:hAnsi="Verdana"/>
          <w:sz w:val="22"/>
          <w:szCs w:val="22"/>
          <w:lang w:val="es-CL" w:eastAsia="es-CL"/>
        </w:rPr>
      </w:pPr>
      <w:r w:rsidRPr="000D7E5F">
        <w:rPr>
          <w:rFonts w:ascii="Verdana" w:hAnsi="Verdana"/>
          <w:sz w:val="22"/>
          <w:szCs w:val="22"/>
          <w:lang w:val="es-CL" w:eastAsia="es-CL"/>
        </w:rPr>
        <w:lastRenderedPageBreak/>
        <w:t xml:space="preserve">    </w:t>
      </w:r>
      <w:r>
        <w:rPr>
          <w:rFonts w:ascii="Verdana" w:hAnsi="Verdana"/>
          <w:sz w:val="22"/>
          <w:szCs w:val="22"/>
          <w:lang w:val="es-CL" w:eastAsia="es-CL"/>
        </w:rPr>
        <w:tab/>
        <w:t xml:space="preserve">                                            Que, de acuerdo a lo anterior,</w:t>
      </w:r>
      <w:r w:rsidRPr="000D7E5F">
        <w:rPr>
          <w:rFonts w:ascii="Verdana" w:hAnsi="Verdana"/>
          <w:sz w:val="22"/>
          <w:szCs w:val="22"/>
          <w:lang w:val="es-CL" w:eastAsia="es-CL"/>
        </w:rPr>
        <w:t xml:space="preserve"> la </w:t>
      </w:r>
      <w:r w:rsidR="00403809">
        <w:rPr>
          <w:rFonts w:ascii="Verdana" w:hAnsi="Verdana"/>
          <w:sz w:val="22"/>
          <w:szCs w:val="22"/>
          <w:lang w:val="es-CL" w:eastAsia="es-CL"/>
        </w:rPr>
        <w:t xml:space="preserve">base </w:t>
      </w:r>
      <w:r w:rsidRPr="000D7E5F">
        <w:rPr>
          <w:rFonts w:ascii="Verdana" w:hAnsi="Verdana"/>
          <w:sz w:val="22"/>
          <w:szCs w:val="22"/>
          <w:lang w:val="es-CL" w:eastAsia="es-CL"/>
        </w:rPr>
        <w:t>impositiva para el cálculo de los derechos, impuestos y demás gravámenes en una importación es el valor CIF, o sea, costo de las mercancías o valor FOB, más el monto del flete y el costo del seguro de ellas y por</w:t>
      </w:r>
      <w:r w:rsidR="00DE3989">
        <w:rPr>
          <w:rFonts w:ascii="Verdana" w:hAnsi="Verdana"/>
          <w:sz w:val="22"/>
          <w:szCs w:val="22"/>
          <w:lang w:val="es-CL" w:eastAsia="es-CL"/>
        </w:rPr>
        <w:t xml:space="preserve"> exigencia normativa</w:t>
      </w:r>
      <w:r w:rsidRPr="000D7E5F">
        <w:rPr>
          <w:rFonts w:ascii="Verdana" w:hAnsi="Verdana"/>
          <w:sz w:val="22"/>
          <w:szCs w:val="22"/>
          <w:lang w:val="es-CL" w:eastAsia="es-CL"/>
        </w:rPr>
        <w:t xml:space="preserve">, se debe consignar en las Declaraciones aduaneras como costo de las mercancías el valor FOB, el cual, cuando la venta se ha pactado en cláusulas anteriores a ésta, como es el caso de las cláusulas FAS o FCA o Ex </w:t>
      </w:r>
      <w:proofErr w:type="spellStart"/>
      <w:r w:rsidRPr="000D7E5F">
        <w:rPr>
          <w:rFonts w:ascii="Verdana" w:hAnsi="Verdana"/>
          <w:sz w:val="22"/>
          <w:szCs w:val="22"/>
          <w:lang w:val="es-CL" w:eastAsia="es-CL"/>
        </w:rPr>
        <w:t>Work</w:t>
      </w:r>
      <w:proofErr w:type="spellEnd"/>
      <w:r w:rsidRPr="000D7E5F">
        <w:rPr>
          <w:rFonts w:ascii="Verdana" w:hAnsi="Verdana"/>
          <w:sz w:val="22"/>
          <w:szCs w:val="22"/>
          <w:lang w:val="es-CL" w:eastAsia="es-CL"/>
        </w:rPr>
        <w:t>,  debe ser conformado con los gastos reales y efectivos que causen las mercancías hasta situarlas a nivel FOB</w:t>
      </w:r>
      <w:r w:rsidR="00DE3989">
        <w:rPr>
          <w:rFonts w:ascii="Verdana" w:hAnsi="Verdana"/>
          <w:sz w:val="22"/>
          <w:szCs w:val="22"/>
          <w:lang w:val="es-CL" w:eastAsia="es-CL"/>
        </w:rPr>
        <w:t xml:space="preserve">. </w:t>
      </w:r>
      <w:proofErr w:type="gramStart"/>
      <w:r w:rsidRPr="000D7E5F">
        <w:rPr>
          <w:rFonts w:ascii="Verdana" w:hAnsi="Verdana"/>
          <w:sz w:val="22"/>
          <w:szCs w:val="22"/>
          <w:lang w:val="es-CL" w:eastAsia="es-CL"/>
        </w:rPr>
        <w:t>y</w:t>
      </w:r>
      <w:proofErr w:type="gramEnd"/>
      <w:r w:rsidRPr="000D7E5F">
        <w:rPr>
          <w:rFonts w:ascii="Verdana" w:hAnsi="Verdana"/>
          <w:sz w:val="22"/>
          <w:szCs w:val="22"/>
          <w:lang w:val="es-CL" w:eastAsia="es-CL"/>
        </w:rPr>
        <w:t xml:space="preserve"> solamente ante la imposibilidad de tenerlos y acreditarlos, se deberá utilizar, de manera supletoria los montos que resulten de aplicar ciertos porcentajes teóricos que el Compendio de Normas Aduaneras señala, según sea el caso.</w:t>
      </w:r>
    </w:p>
    <w:p w:rsidR="00310B51" w:rsidRPr="000D7E5F" w:rsidRDefault="00310B51" w:rsidP="00310B51">
      <w:pPr>
        <w:ind w:left="708" w:hanging="708"/>
        <w:jc w:val="both"/>
        <w:rPr>
          <w:rFonts w:ascii="Verdana" w:hAnsi="Verdana"/>
          <w:sz w:val="22"/>
          <w:szCs w:val="22"/>
          <w:lang w:val="es-CL" w:eastAsia="es-CL"/>
        </w:rPr>
      </w:pPr>
    </w:p>
    <w:p w:rsidR="00310B51" w:rsidRPr="000D7E5F" w:rsidRDefault="001F53D2" w:rsidP="00403809">
      <w:pPr>
        <w:jc w:val="both"/>
        <w:rPr>
          <w:rFonts w:ascii="Verdana" w:hAnsi="Verdana"/>
          <w:sz w:val="22"/>
          <w:szCs w:val="22"/>
          <w:lang w:val="es-CL" w:eastAsia="es-CL"/>
        </w:rPr>
      </w:pPr>
      <w:r>
        <w:rPr>
          <w:rFonts w:ascii="Verdana" w:hAnsi="Verdana"/>
          <w:b/>
          <w:sz w:val="22"/>
          <w:szCs w:val="22"/>
          <w:lang w:val="es-CL" w:eastAsia="es-CL"/>
        </w:rPr>
        <w:t xml:space="preserve">                                                      </w:t>
      </w:r>
      <w:r w:rsidRPr="001F53D2">
        <w:rPr>
          <w:rFonts w:ascii="Verdana" w:hAnsi="Verdana"/>
          <w:sz w:val="22"/>
          <w:szCs w:val="22"/>
          <w:lang w:val="es-CL" w:eastAsia="es-CL"/>
        </w:rPr>
        <w:t>Que,</w:t>
      </w:r>
      <w:r>
        <w:rPr>
          <w:rFonts w:ascii="Verdana" w:hAnsi="Verdana"/>
          <w:b/>
          <w:sz w:val="22"/>
          <w:szCs w:val="22"/>
          <w:lang w:val="es-CL" w:eastAsia="es-CL"/>
        </w:rPr>
        <w:t xml:space="preserve">  </w:t>
      </w:r>
      <w:r w:rsidR="00310B51" w:rsidRPr="000D7E5F">
        <w:rPr>
          <w:rFonts w:ascii="Verdana" w:hAnsi="Verdana"/>
          <w:sz w:val="22"/>
          <w:szCs w:val="22"/>
          <w:lang w:val="es-CL" w:eastAsia="es-CL"/>
        </w:rPr>
        <w:t>la cláusula FCA, permite la entrega de  las mercancías en diferentes lugares en el país de origen, según lo determinen las partes, vendedor y comprador. Estos lugares distintos no son equidistantes e</w:t>
      </w:r>
      <w:r w:rsidR="00DE3989">
        <w:rPr>
          <w:rFonts w:ascii="Verdana" w:hAnsi="Verdana"/>
          <w:sz w:val="22"/>
          <w:szCs w:val="22"/>
          <w:lang w:val="es-CL" w:eastAsia="es-CL"/>
        </w:rPr>
        <w:t>n relación al punto  FOB</w:t>
      </w:r>
      <w:r w:rsidR="00310B51">
        <w:rPr>
          <w:rFonts w:ascii="Verdana" w:hAnsi="Verdana"/>
          <w:sz w:val="22"/>
          <w:szCs w:val="22"/>
          <w:lang w:val="es-CL" w:eastAsia="es-CL"/>
        </w:rPr>
        <w:t>, por lo tanto la</w:t>
      </w:r>
      <w:r w:rsidR="00310B51" w:rsidRPr="000D7E5F">
        <w:rPr>
          <w:rFonts w:ascii="Verdana" w:hAnsi="Verdana"/>
          <w:sz w:val="22"/>
          <w:szCs w:val="22"/>
          <w:lang w:val="es-CL" w:eastAsia="es-CL"/>
        </w:rPr>
        <w:t xml:space="preserve"> entrega puede ser, por ejemplo en: la planta o en la bodega del vendedor,  en una terminal del transportista, en una terminal de conteiner, en una terminal aérea o marítima, etc.  Esta entrega debe ser siempre en o sobre un vehículo de transporte, ya sea del vendedor o contratado por éste o proporcionado por cuenta del comprador y los  gastos de manipuleo y de carga son de cargo del vendedor. Cuando la entrega de las mercancías se hace en un punto cercano del lugar de embarque en origen, por ejemplo en aeropuerto o puerto marítimo,  los gastos de manipuleo, descarga y carga al transporte principal son de cargo del comprador.</w:t>
      </w:r>
    </w:p>
    <w:p w:rsidR="00DE3989" w:rsidRDefault="00DE3989" w:rsidP="0080317C">
      <w:pPr>
        <w:jc w:val="both"/>
        <w:rPr>
          <w:rFonts w:ascii="Tahoma" w:hAnsi="Tahoma" w:cs="Tahoma"/>
          <w:color w:val="333333"/>
          <w:sz w:val="21"/>
          <w:szCs w:val="21"/>
          <w:lang w:val="es-ES" w:eastAsia="es-CL"/>
        </w:rPr>
      </w:pPr>
    </w:p>
    <w:p w:rsidR="00646512" w:rsidRDefault="00DE3989" w:rsidP="00403809">
      <w:pPr>
        <w:ind w:firstLine="3960"/>
        <w:jc w:val="both"/>
        <w:rPr>
          <w:rFonts w:ascii="Verdana" w:hAnsi="Verdana"/>
          <w:sz w:val="22"/>
          <w:szCs w:val="22"/>
          <w:lang w:val="es-CL" w:eastAsia="es-CL"/>
        </w:rPr>
      </w:pPr>
      <w:r>
        <w:rPr>
          <w:rFonts w:ascii="Tahoma" w:hAnsi="Tahoma" w:cs="Tahoma"/>
          <w:color w:val="333333"/>
          <w:sz w:val="21"/>
          <w:szCs w:val="21"/>
          <w:lang w:val="es-ES" w:eastAsia="es-CL"/>
        </w:rPr>
        <w:t xml:space="preserve">Que, </w:t>
      </w:r>
      <w:r w:rsidRPr="000D7E5F">
        <w:rPr>
          <w:rFonts w:ascii="Verdana" w:hAnsi="Verdana"/>
          <w:sz w:val="22"/>
          <w:szCs w:val="22"/>
          <w:lang w:val="es-CL" w:eastAsia="es-CL"/>
        </w:rPr>
        <w:t>cuando los gastos reales y efectivos desde FCA a FOB, no consten por separado y estén incluidos en el monto FCA facturado, tratándose de envíos  marítimos y aéreos o en la Carta de Porte, en caso de envíos por carretera , según Declaración Jurada simple  efectuada por el importador, se podrá estimar que la aplicación al valor FCA de un 4,79% o un 0,5% del monto total del transporte, respectivamente, es una cifra objetiva y cuantificable, válida para conformar e</w:t>
      </w:r>
      <w:r>
        <w:rPr>
          <w:rFonts w:ascii="Verdana" w:hAnsi="Verdana"/>
          <w:sz w:val="22"/>
          <w:szCs w:val="22"/>
          <w:lang w:val="es-CL" w:eastAsia="es-CL"/>
        </w:rPr>
        <w:t>l valor FOB a consignar en la  d</w:t>
      </w:r>
      <w:r w:rsidRPr="000D7E5F">
        <w:rPr>
          <w:rFonts w:ascii="Verdana" w:hAnsi="Verdana"/>
          <w:sz w:val="22"/>
          <w:szCs w:val="22"/>
          <w:lang w:val="es-CL" w:eastAsia="es-CL"/>
        </w:rPr>
        <w:t>eclaración aduanera.</w:t>
      </w:r>
    </w:p>
    <w:p w:rsidR="00DE3989" w:rsidRDefault="00DE3989" w:rsidP="00DE3989">
      <w:pPr>
        <w:ind w:left="708" w:firstLine="3252"/>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Pr>
          <w:rFonts w:ascii="Verdana" w:hAnsi="Verdana"/>
          <w:sz w:val="22"/>
          <w:szCs w:val="22"/>
          <w:lang w:val="es-CL" w:eastAsia="es-CL"/>
        </w:rPr>
        <w:t xml:space="preserve">                                                      Que, el</w:t>
      </w:r>
      <w:r w:rsidRPr="000D7E5F">
        <w:rPr>
          <w:rFonts w:ascii="Verdana" w:hAnsi="Verdana"/>
          <w:sz w:val="22"/>
          <w:szCs w:val="22"/>
          <w:lang w:val="es-CL" w:eastAsia="es-CL"/>
        </w:rPr>
        <w:t xml:space="preserve"> uso de montos resultantes de la aplicación de porcentajes  teóricos, desde FCA a FOB,  cuando no existen las cifras reales y efectivas susceptibles de ser acreditadas documentalmente y, se encuentran en la situación descrita anterior</w:t>
      </w:r>
      <w:r>
        <w:rPr>
          <w:rFonts w:ascii="Verdana" w:hAnsi="Verdana"/>
          <w:sz w:val="22"/>
          <w:szCs w:val="22"/>
          <w:lang w:val="es-CL" w:eastAsia="es-CL"/>
        </w:rPr>
        <w:t>mente</w:t>
      </w:r>
      <w:r w:rsidRPr="000D7E5F">
        <w:rPr>
          <w:rFonts w:ascii="Verdana" w:hAnsi="Verdana"/>
          <w:sz w:val="22"/>
          <w:szCs w:val="22"/>
          <w:lang w:val="es-CL" w:eastAsia="es-CL"/>
        </w:rPr>
        <w:t>, no significa un aumento de la base impositiva aduanera, aplicando el procedimiento que sigue:</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Vía marítima o aérea: (4,79% de FCA).</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En el recuadro “Ajuste” de la Declaración de Ingreso, deberá consignarse el mismo monto resultante del cálculo teórico, en dólares de los EE.UU. de Norteamérica, pero como un ajuste deductivo (-), a objeto de no aumentar el valor pactado en cláusula FCA.</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Vía terrestre: (0,5% del monto total del transporte).</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 xml:space="preserve">En el recuadro “Ajuste” de la Declaración de Ingreso, deberá consignarse el mismo monto resultante del cálculo teórico, en dólares de los EE.UU. de Norteamérica, pero como ajuste deductivo (-), a objeto de no variar el valor del flete pactado.  </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9651F8">
      <w:pPr>
        <w:jc w:val="both"/>
        <w:rPr>
          <w:rFonts w:ascii="Verdana" w:hAnsi="Verdana"/>
          <w:sz w:val="22"/>
          <w:szCs w:val="22"/>
          <w:lang w:val="es-CL" w:eastAsia="es-CL"/>
        </w:rPr>
      </w:pPr>
      <w:r w:rsidRPr="000D7E5F">
        <w:rPr>
          <w:rFonts w:ascii="Verdana" w:hAnsi="Verdana"/>
          <w:sz w:val="22"/>
          <w:szCs w:val="22"/>
          <w:lang w:val="es-CL" w:eastAsia="es-CL"/>
        </w:rPr>
        <w:t>En el caso de que la operación tenga, po</w:t>
      </w:r>
      <w:r>
        <w:rPr>
          <w:rFonts w:ascii="Verdana" w:hAnsi="Verdana"/>
          <w:sz w:val="22"/>
          <w:szCs w:val="22"/>
          <w:lang w:val="es-CL" w:eastAsia="es-CL"/>
        </w:rPr>
        <w:t xml:space="preserve">r diferentes causas,  más de un </w:t>
      </w:r>
      <w:r w:rsidRPr="000D7E5F">
        <w:rPr>
          <w:rFonts w:ascii="Verdana" w:hAnsi="Verdana"/>
          <w:sz w:val="22"/>
          <w:szCs w:val="22"/>
          <w:lang w:val="es-CL" w:eastAsia="es-CL"/>
        </w:rPr>
        <w:t xml:space="preserve">ajuste deductivo, se deberán sumar los ajustes y consignarlos en el mismo recuadro.  </w:t>
      </w:r>
    </w:p>
    <w:p w:rsidR="00DE3989" w:rsidRPr="000D7E5F" w:rsidRDefault="00DE3989" w:rsidP="00DE3989">
      <w:pPr>
        <w:ind w:left="708" w:hanging="708"/>
        <w:jc w:val="both"/>
        <w:rPr>
          <w:rFonts w:ascii="Verdana" w:hAnsi="Verdana"/>
          <w:sz w:val="22"/>
          <w:szCs w:val="22"/>
          <w:lang w:val="es-CL" w:eastAsia="es-CL"/>
        </w:rPr>
      </w:pPr>
    </w:p>
    <w:p w:rsidR="009651F8" w:rsidRDefault="009651F8" w:rsidP="00403809">
      <w:pPr>
        <w:jc w:val="both"/>
        <w:rPr>
          <w:rFonts w:ascii="Verdana" w:hAnsi="Verdana"/>
          <w:sz w:val="22"/>
          <w:szCs w:val="22"/>
          <w:lang w:val="es-CL" w:eastAsia="es-CL"/>
        </w:rPr>
      </w:pPr>
    </w:p>
    <w:p w:rsidR="009651F8" w:rsidRDefault="009651F8" w:rsidP="00403809">
      <w:pPr>
        <w:jc w:val="both"/>
        <w:rPr>
          <w:rFonts w:ascii="Verdana" w:hAnsi="Verdana"/>
          <w:sz w:val="22"/>
          <w:szCs w:val="22"/>
          <w:lang w:val="es-CL" w:eastAsia="es-CL"/>
        </w:rPr>
      </w:pPr>
    </w:p>
    <w:p w:rsidR="009651F8" w:rsidRDefault="009651F8" w:rsidP="00403809">
      <w:pPr>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En el recuadro “Observaciones Banco Central-SNA”, de la DI, se deberán detallar los</w:t>
      </w:r>
      <w:r>
        <w:rPr>
          <w:rFonts w:ascii="Verdana" w:hAnsi="Verdana"/>
          <w:sz w:val="22"/>
          <w:szCs w:val="22"/>
          <w:lang w:val="es-CL" w:eastAsia="es-CL"/>
        </w:rPr>
        <w:t xml:space="preserve"> respectivos</w:t>
      </w:r>
      <w:r w:rsidRPr="000D7E5F">
        <w:rPr>
          <w:rFonts w:ascii="Verdana" w:hAnsi="Verdana"/>
          <w:sz w:val="22"/>
          <w:szCs w:val="22"/>
          <w:lang w:val="es-CL" w:eastAsia="es-CL"/>
        </w:rPr>
        <w:t xml:space="preserve"> ajustes</w:t>
      </w:r>
      <w:r>
        <w:rPr>
          <w:rFonts w:ascii="Verdana" w:hAnsi="Verdana"/>
          <w:sz w:val="22"/>
          <w:szCs w:val="22"/>
          <w:lang w:val="es-CL" w:eastAsia="es-CL"/>
        </w:rPr>
        <w:t xml:space="preserve">, es decir: Ajuste FCA US$ </w:t>
      </w:r>
      <w:proofErr w:type="spellStart"/>
      <w:r>
        <w:rPr>
          <w:rFonts w:ascii="Verdana" w:hAnsi="Verdana"/>
          <w:sz w:val="22"/>
          <w:szCs w:val="22"/>
          <w:lang w:val="es-CL" w:eastAsia="es-CL"/>
        </w:rPr>
        <w:t>xxx</w:t>
      </w:r>
      <w:proofErr w:type="spellEnd"/>
      <w:r>
        <w:rPr>
          <w:rFonts w:ascii="Verdana" w:hAnsi="Verdana"/>
          <w:sz w:val="22"/>
          <w:szCs w:val="22"/>
          <w:lang w:val="es-CL" w:eastAsia="es-CL"/>
        </w:rPr>
        <w:t xml:space="preserve"> Ajuste por Tramo Nacional </w:t>
      </w:r>
      <w:proofErr w:type="spellStart"/>
      <w:r>
        <w:rPr>
          <w:rFonts w:ascii="Verdana" w:hAnsi="Verdana"/>
          <w:sz w:val="22"/>
          <w:szCs w:val="22"/>
          <w:lang w:val="es-CL" w:eastAsia="es-CL"/>
        </w:rPr>
        <w:t>US$xxx</w:t>
      </w:r>
      <w:proofErr w:type="spellEnd"/>
      <w:r>
        <w:rPr>
          <w:rFonts w:ascii="Verdana" w:hAnsi="Verdana"/>
          <w:sz w:val="22"/>
          <w:szCs w:val="22"/>
          <w:lang w:val="es-CL" w:eastAsia="es-CL"/>
        </w:rPr>
        <w:t>.</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 xml:space="preserve">Cuando la cláusula </w:t>
      </w:r>
      <w:r>
        <w:rPr>
          <w:rFonts w:ascii="Verdana" w:hAnsi="Verdana"/>
          <w:sz w:val="22"/>
          <w:szCs w:val="22"/>
          <w:lang w:val="es-CL" w:eastAsia="es-CL"/>
        </w:rPr>
        <w:t>sea</w:t>
      </w:r>
      <w:r w:rsidRPr="000D7E5F">
        <w:rPr>
          <w:rFonts w:ascii="Verdana" w:hAnsi="Verdana"/>
          <w:sz w:val="22"/>
          <w:szCs w:val="22"/>
          <w:lang w:val="es-CL" w:eastAsia="es-CL"/>
        </w:rPr>
        <w:t xml:space="preserve"> FCA, se deberá señalar en el recuadro de la Declaración “Cláusula de Compra” la glosa OTROS</w:t>
      </w:r>
      <w:r>
        <w:rPr>
          <w:rFonts w:ascii="Verdana" w:hAnsi="Verdana"/>
          <w:sz w:val="22"/>
          <w:szCs w:val="22"/>
          <w:lang w:val="es-CL" w:eastAsia="es-CL"/>
        </w:rPr>
        <w:t xml:space="preserve"> (FCA)</w:t>
      </w:r>
      <w:r w:rsidRPr="000D7E5F">
        <w:rPr>
          <w:rFonts w:ascii="Verdana" w:hAnsi="Verdana"/>
          <w:sz w:val="22"/>
          <w:szCs w:val="22"/>
          <w:lang w:val="es-CL" w:eastAsia="es-CL"/>
        </w:rPr>
        <w:t xml:space="preserve"> y el Código 8. Asimismo, en el recuadro “Observaciones Banco Central-SNA”, se deberá señalar</w:t>
      </w:r>
      <w:r>
        <w:rPr>
          <w:rFonts w:ascii="Verdana" w:hAnsi="Verdana"/>
          <w:sz w:val="22"/>
          <w:szCs w:val="22"/>
          <w:lang w:val="es-CL" w:eastAsia="es-CL"/>
        </w:rPr>
        <w:t xml:space="preserve"> la cláusula real, es decir</w:t>
      </w:r>
      <w:r w:rsidRPr="000D7E5F">
        <w:rPr>
          <w:rFonts w:ascii="Verdana" w:hAnsi="Verdana"/>
          <w:sz w:val="22"/>
          <w:szCs w:val="22"/>
          <w:lang w:val="es-CL" w:eastAsia="es-CL"/>
        </w:rPr>
        <w:t xml:space="preserve"> el Código 10 y la glosa FCA.</w:t>
      </w:r>
    </w:p>
    <w:p w:rsidR="00DE3989" w:rsidRPr="000D7E5F" w:rsidRDefault="00DE3989" w:rsidP="00DE3989">
      <w:pPr>
        <w:ind w:left="708" w:hanging="708"/>
        <w:jc w:val="both"/>
        <w:rPr>
          <w:rFonts w:ascii="Verdana" w:hAnsi="Verdana"/>
          <w:sz w:val="22"/>
          <w:szCs w:val="22"/>
          <w:lang w:val="es-CL" w:eastAsia="es-CL"/>
        </w:rPr>
      </w:pPr>
    </w:p>
    <w:p w:rsidR="00DE3989" w:rsidRPr="000D7E5F" w:rsidRDefault="00DE3989" w:rsidP="00403809">
      <w:pPr>
        <w:jc w:val="both"/>
        <w:rPr>
          <w:rFonts w:ascii="Verdana" w:hAnsi="Verdana"/>
          <w:sz w:val="22"/>
          <w:szCs w:val="22"/>
          <w:lang w:val="es-CL" w:eastAsia="es-CL"/>
        </w:rPr>
      </w:pPr>
      <w:r w:rsidRPr="000D7E5F">
        <w:rPr>
          <w:rFonts w:ascii="Verdana" w:hAnsi="Verdana"/>
          <w:sz w:val="22"/>
          <w:szCs w:val="22"/>
          <w:lang w:val="es-CL" w:eastAsia="es-CL"/>
        </w:rPr>
        <w:t>Cuan</w:t>
      </w:r>
      <w:r>
        <w:rPr>
          <w:rFonts w:ascii="Verdana" w:hAnsi="Verdana"/>
          <w:sz w:val="22"/>
          <w:szCs w:val="22"/>
          <w:lang w:val="es-CL" w:eastAsia="es-CL"/>
        </w:rPr>
        <w:t>do la cláusula sea</w:t>
      </w:r>
      <w:r w:rsidRPr="000D7E5F">
        <w:rPr>
          <w:rFonts w:ascii="Verdana" w:hAnsi="Verdana"/>
          <w:sz w:val="22"/>
          <w:szCs w:val="22"/>
          <w:lang w:val="es-CL" w:eastAsia="es-CL"/>
        </w:rPr>
        <w:t xml:space="preserve"> FCA, el monto de los gastos reales, efectivos o el resultante de aplicar los porcentajes teóricos, según el caso, se deberán consignar en el mismo recuadro de la DI asignado a los “Gastos hasta FOB”, sin que sea necesario modificar el rec</w:t>
      </w:r>
      <w:r>
        <w:rPr>
          <w:rFonts w:ascii="Verdana" w:hAnsi="Verdana"/>
          <w:sz w:val="22"/>
          <w:szCs w:val="22"/>
          <w:lang w:val="es-CL" w:eastAsia="es-CL"/>
        </w:rPr>
        <w:t>uadro del formato de la declaración.</w:t>
      </w:r>
    </w:p>
    <w:p w:rsidR="00DE3989" w:rsidRPr="000D7E5F" w:rsidRDefault="00DE3989" w:rsidP="00DE3989">
      <w:pPr>
        <w:ind w:left="708" w:hanging="708"/>
        <w:jc w:val="both"/>
        <w:rPr>
          <w:rFonts w:ascii="Verdana" w:hAnsi="Verdana"/>
          <w:sz w:val="22"/>
          <w:szCs w:val="22"/>
          <w:lang w:val="es-CL" w:eastAsia="es-CL"/>
        </w:rPr>
      </w:pPr>
    </w:p>
    <w:p w:rsidR="00DE3989" w:rsidRDefault="00403809" w:rsidP="00403809">
      <w:pPr>
        <w:jc w:val="both"/>
        <w:rPr>
          <w:rFonts w:ascii="Verdana" w:hAnsi="Verdana"/>
          <w:sz w:val="22"/>
          <w:szCs w:val="22"/>
          <w:lang w:val="es-CL" w:eastAsia="es-CL"/>
        </w:rPr>
      </w:pPr>
      <w:r>
        <w:rPr>
          <w:rFonts w:ascii="Verdana" w:hAnsi="Verdana"/>
          <w:sz w:val="22"/>
          <w:szCs w:val="22"/>
          <w:lang w:val="es-CL" w:eastAsia="es-CL"/>
        </w:rPr>
        <w:t xml:space="preserve">                                                   Que, consecuente con lo anterior, se hace necesario impartir instrucciones para la confección de las declaraciones de ingreso, como asimismo efectuar las validaciones computacionales.</w:t>
      </w:r>
    </w:p>
    <w:p w:rsidR="00403809" w:rsidRDefault="00403809" w:rsidP="00403809">
      <w:pPr>
        <w:jc w:val="both"/>
        <w:rPr>
          <w:rFonts w:ascii="Verdana" w:hAnsi="Verdana"/>
          <w:sz w:val="22"/>
          <w:szCs w:val="22"/>
          <w:lang w:val="es-CL" w:eastAsia="es-CL"/>
        </w:rPr>
      </w:pPr>
    </w:p>
    <w:p w:rsidR="00403809" w:rsidRDefault="00403809" w:rsidP="00403809">
      <w:pPr>
        <w:jc w:val="both"/>
        <w:rPr>
          <w:rFonts w:ascii="Verdana" w:hAnsi="Verdana"/>
          <w:sz w:val="22"/>
          <w:szCs w:val="22"/>
          <w:lang w:val="es-CL" w:eastAsia="es-CL"/>
        </w:rPr>
      </w:pPr>
      <w:r>
        <w:rPr>
          <w:rFonts w:ascii="Verdana" w:hAnsi="Verdana"/>
          <w:sz w:val="22"/>
          <w:szCs w:val="22"/>
          <w:lang w:val="es-CL" w:eastAsia="es-CL"/>
        </w:rPr>
        <w:t xml:space="preserve">                                                  </w:t>
      </w:r>
      <w:r w:rsidRPr="00037BE0">
        <w:rPr>
          <w:rFonts w:ascii="Verdana" w:hAnsi="Verdana"/>
          <w:b/>
          <w:sz w:val="22"/>
          <w:szCs w:val="22"/>
          <w:lang w:val="es-CL" w:eastAsia="es-CL"/>
        </w:rPr>
        <w:t>TENIENDO PRESENTE:</w:t>
      </w:r>
      <w:r>
        <w:rPr>
          <w:rFonts w:ascii="Verdana" w:hAnsi="Verdana"/>
          <w:sz w:val="22"/>
          <w:szCs w:val="22"/>
          <w:lang w:val="es-CL" w:eastAsia="es-CL"/>
        </w:rPr>
        <w:t xml:space="preserve"> Lo dispuesto en el artículo 77 de la Ordenanza de Aduanas, en los números 7 y 8 del artículo 4° del D.F.L.N° 329 de 1979, y en la Resolución N° 1600/2008 de la Contraloría General de la República, sobre la exención del trámite de toma de razón, dicto la siguiente:</w:t>
      </w:r>
    </w:p>
    <w:p w:rsidR="00403809" w:rsidRDefault="00403809" w:rsidP="00403809">
      <w:pPr>
        <w:jc w:val="both"/>
        <w:rPr>
          <w:rFonts w:ascii="Verdana" w:hAnsi="Verdana"/>
          <w:sz w:val="22"/>
          <w:szCs w:val="22"/>
          <w:lang w:val="es-CL" w:eastAsia="es-CL"/>
        </w:rPr>
      </w:pPr>
    </w:p>
    <w:p w:rsidR="009651F8" w:rsidRDefault="00403809" w:rsidP="00403809">
      <w:pPr>
        <w:jc w:val="both"/>
        <w:rPr>
          <w:rFonts w:ascii="Verdana" w:hAnsi="Verdana"/>
          <w:b/>
          <w:sz w:val="22"/>
          <w:szCs w:val="22"/>
          <w:lang w:val="es-CL" w:eastAsia="es-CL"/>
        </w:rPr>
      </w:pPr>
      <w:r>
        <w:rPr>
          <w:rFonts w:ascii="Verdana" w:hAnsi="Verdana"/>
          <w:sz w:val="22"/>
          <w:szCs w:val="22"/>
          <w:lang w:val="es-CL" w:eastAsia="es-CL"/>
        </w:rPr>
        <w:t xml:space="preserve">                                         </w:t>
      </w:r>
      <w:r w:rsidRPr="006460C1">
        <w:rPr>
          <w:rFonts w:ascii="Verdana" w:hAnsi="Verdana"/>
          <w:b/>
          <w:sz w:val="22"/>
          <w:szCs w:val="22"/>
          <w:lang w:val="es-CL" w:eastAsia="es-CL"/>
        </w:rPr>
        <w:t xml:space="preserve">       </w:t>
      </w:r>
    </w:p>
    <w:p w:rsidR="009651F8" w:rsidRDefault="009651F8" w:rsidP="00403809">
      <w:pPr>
        <w:jc w:val="both"/>
        <w:rPr>
          <w:rFonts w:ascii="Verdana" w:hAnsi="Verdana"/>
          <w:b/>
          <w:sz w:val="22"/>
          <w:szCs w:val="22"/>
          <w:lang w:val="es-CL" w:eastAsia="es-CL"/>
        </w:rPr>
      </w:pPr>
    </w:p>
    <w:p w:rsidR="00403809" w:rsidRPr="006460C1" w:rsidRDefault="009651F8" w:rsidP="00403809">
      <w:pPr>
        <w:jc w:val="both"/>
        <w:rPr>
          <w:rFonts w:ascii="Verdana" w:hAnsi="Verdana"/>
          <w:b/>
          <w:sz w:val="22"/>
          <w:szCs w:val="22"/>
          <w:lang w:val="es-CL" w:eastAsia="es-CL"/>
        </w:rPr>
      </w:pPr>
      <w:r>
        <w:rPr>
          <w:rFonts w:ascii="Verdana" w:hAnsi="Verdana"/>
          <w:b/>
          <w:sz w:val="22"/>
          <w:szCs w:val="22"/>
          <w:lang w:val="es-CL" w:eastAsia="es-CL"/>
        </w:rPr>
        <w:t xml:space="preserve">                                                   </w:t>
      </w:r>
      <w:r w:rsidR="00403809" w:rsidRPr="006460C1">
        <w:rPr>
          <w:rFonts w:ascii="Verdana" w:hAnsi="Verdana"/>
          <w:b/>
          <w:sz w:val="22"/>
          <w:szCs w:val="22"/>
          <w:lang w:val="es-CL" w:eastAsia="es-CL"/>
        </w:rPr>
        <w:t>R E S O L U C I O N</w:t>
      </w:r>
      <w:r w:rsidR="006460C1">
        <w:rPr>
          <w:rFonts w:ascii="Verdana" w:hAnsi="Verdana"/>
          <w:b/>
          <w:sz w:val="22"/>
          <w:szCs w:val="22"/>
          <w:lang w:val="es-CL" w:eastAsia="es-CL"/>
        </w:rPr>
        <w:t>:</w:t>
      </w:r>
    </w:p>
    <w:p w:rsidR="00DE3989" w:rsidRDefault="00DE3989" w:rsidP="00DE3989">
      <w:pPr>
        <w:ind w:left="708" w:firstLine="3252"/>
        <w:jc w:val="both"/>
        <w:rPr>
          <w:rFonts w:ascii="Verdana" w:hAnsi="Verdana"/>
          <w:b/>
          <w:color w:val="666666"/>
          <w:sz w:val="22"/>
          <w:szCs w:val="22"/>
          <w:lang w:val="es-CL" w:eastAsia="en-US"/>
        </w:rPr>
      </w:pPr>
    </w:p>
    <w:p w:rsidR="00037BE0" w:rsidRDefault="00037BE0" w:rsidP="00DE3989">
      <w:pPr>
        <w:ind w:left="708" w:firstLine="3252"/>
        <w:jc w:val="both"/>
        <w:rPr>
          <w:rFonts w:ascii="Verdana" w:hAnsi="Verdana"/>
          <w:b/>
          <w:color w:val="666666"/>
          <w:sz w:val="22"/>
          <w:szCs w:val="22"/>
          <w:lang w:val="es-CL" w:eastAsia="en-US"/>
        </w:rPr>
      </w:pPr>
    </w:p>
    <w:p w:rsidR="00037BE0" w:rsidRPr="00AF3483" w:rsidRDefault="00037BE0" w:rsidP="00DE3989">
      <w:pPr>
        <w:ind w:left="708" w:firstLine="3252"/>
        <w:jc w:val="both"/>
        <w:rPr>
          <w:rFonts w:ascii="Verdana" w:hAnsi="Verdana"/>
          <w:b/>
          <w:color w:val="666666"/>
          <w:sz w:val="22"/>
          <w:szCs w:val="22"/>
          <w:lang w:val="es-CL" w:eastAsia="en-US"/>
        </w:rPr>
      </w:pPr>
    </w:p>
    <w:p w:rsidR="009651F8" w:rsidRDefault="009651F8" w:rsidP="006460C1">
      <w:pPr>
        <w:ind w:left="708" w:hanging="708"/>
        <w:jc w:val="both"/>
        <w:rPr>
          <w:rFonts w:ascii="Verdana" w:hAnsi="Verdana"/>
          <w:b/>
          <w:sz w:val="22"/>
          <w:szCs w:val="22"/>
          <w:lang w:val="es-CL" w:eastAsia="es-CL"/>
        </w:rPr>
      </w:pPr>
    </w:p>
    <w:p w:rsidR="009651F8" w:rsidRDefault="009651F8" w:rsidP="006460C1">
      <w:pPr>
        <w:ind w:left="708" w:hanging="708"/>
        <w:jc w:val="both"/>
        <w:rPr>
          <w:rFonts w:ascii="Verdana" w:hAnsi="Verdana"/>
          <w:b/>
          <w:sz w:val="22"/>
          <w:szCs w:val="22"/>
          <w:lang w:val="es-CL" w:eastAsia="es-CL"/>
        </w:rPr>
      </w:pPr>
    </w:p>
    <w:p w:rsidR="006460C1" w:rsidRPr="00385532" w:rsidRDefault="006460C1" w:rsidP="006460C1">
      <w:pPr>
        <w:ind w:left="708" w:hanging="708"/>
        <w:jc w:val="both"/>
        <w:rPr>
          <w:rFonts w:ascii="Verdana" w:hAnsi="Verdana"/>
          <w:sz w:val="22"/>
          <w:szCs w:val="22"/>
          <w:lang w:val="es-CL" w:eastAsia="es-CL"/>
        </w:rPr>
      </w:pPr>
      <w:r>
        <w:rPr>
          <w:rFonts w:ascii="Verdana" w:hAnsi="Verdana"/>
          <w:b/>
          <w:sz w:val="22"/>
          <w:szCs w:val="22"/>
          <w:lang w:val="es-CL" w:eastAsia="es-CL"/>
        </w:rPr>
        <w:t xml:space="preserve">I.-  MODIFICASE </w:t>
      </w:r>
      <w:r w:rsidRPr="00385532">
        <w:rPr>
          <w:rFonts w:ascii="Verdana" w:hAnsi="Verdana"/>
          <w:sz w:val="22"/>
          <w:szCs w:val="22"/>
          <w:lang w:val="es-CL" w:eastAsia="es-CL"/>
        </w:rPr>
        <w:t>el Anexo 18, Numeral 10.8 del Compendio de Normas Aduaneras, como se indica:</w:t>
      </w:r>
    </w:p>
    <w:p w:rsidR="006460C1" w:rsidRDefault="006460C1" w:rsidP="006460C1">
      <w:pPr>
        <w:jc w:val="both"/>
        <w:rPr>
          <w:rFonts w:ascii="Verdana" w:hAnsi="Verdana"/>
          <w:b/>
          <w:sz w:val="22"/>
          <w:szCs w:val="22"/>
          <w:lang w:val="es-CL" w:eastAsia="es-CL"/>
        </w:rPr>
      </w:pPr>
    </w:p>
    <w:p w:rsidR="006460C1" w:rsidRPr="00EC2845" w:rsidRDefault="006460C1" w:rsidP="006460C1">
      <w:pPr>
        <w:jc w:val="both"/>
        <w:rPr>
          <w:rFonts w:ascii="Verdana" w:hAnsi="Verdana"/>
          <w:b/>
          <w:sz w:val="22"/>
          <w:szCs w:val="22"/>
          <w:lang w:val="es-CL" w:eastAsia="es-CL"/>
        </w:rPr>
      </w:pPr>
      <w:r w:rsidRPr="00D17BCE">
        <w:rPr>
          <w:rFonts w:ascii="Verdana" w:hAnsi="Verdana"/>
          <w:sz w:val="22"/>
          <w:szCs w:val="22"/>
          <w:lang w:val="es-CL" w:eastAsia="es-CL"/>
        </w:rPr>
        <w:tab/>
      </w:r>
    </w:p>
    <w:p w:rsidR="006460C1" w:rsidRPr="00385532" w:rsidRDefault="006460C1" w:rsidP="006460C1">
      <w:pPr>
        <w:autoSpaceDE w:val="0"/>
        <w:autoSpaceDN w:val="0"/>
        <w:adjustRightInd w:val="0"/>
        <w:rPr>
          <w:rFonts w:ascii="Verdana" w:hAnsi="Verdana" w:cs="Verdana"/>
          <w:b/>
          <w:sz w:val="21"/>
          <w:szCs w:val="21"/>
          <w:lang w:val="es-CL" w:eastAsia="es-CL"/>
        </w:rPr>
      </w:pPr>
      <w:r>
        <w:rPr>
          <w:rFonts w:ascii="Verdana" w:hAnsi="Verdana" w:cs="Verdana"/>
          <w:sz w:val="21"/>
          <w:szCs w:val="21"/>
          <w:lang w:val="es-CL" w:eastAsia="es-CL"/>
        </w:rPr>
        <w:tab/>
      </w:r>
      <w:r w:rsidRPr="00385532">
        <w:rPr>
          <w:rFonts w:ascii="Verdana" w:hAnsi="Verdana" w:cs="Verdana"/>
          <w:b/>
          <w:sz w:val="21"/>
          <w:szCs w:val="21"/>
          <w:lang w:val="es-CL" w:eastAsia="es-CL"/>
        </w:rPr>
        <w:t>ANEXO 18</w:t>
      </w:r>
    </w:p>
    <w:p w:rsidR="006460C1" w:rsidRPr="00385532" w:rsidRDefault="006460C1" w:rsidP="006460C1">
      <w:pPr>
        <w:autoSpaceDE w:val="0"/>
        <w:autoSpaceDN w:val="0"/>
        <w:adjustRightInd w:val="0"/>
        <w:rPr>
          <w:rFonts w:ascii="Verdana" w:hAnsi="Verdana" w:cs="Verdana"/>
          <w:b/>
          <w:sz w:val="21"/>
          <w:szCs w:val="21"/>
          <w:lang w:val="es-CL" w:eastAsia="es-CL"/>
        </w:rPr>
      </w:pPr>
    </w:p>
    <w:p w:rsidR="006D44FE" w:rsidRPr="009651F8" w:rsidRDefault="00A63E79" w:rsidP="00C22AC9">
      <w:pPr>
        <w:autoSpaceDE w:val="0"/>
        <w:autoSpaceDN w:val="0"/>
        <w:adjustRightInd w:val="0"/>
        <w:ind w:left="1410" w:hanging="705"/>
        <w:rPr>
          <w:rFonts w:ascii="Verdana" w:hAnsi="Verdana" w:cs="Verdana"/>
          <w:sz w:val="21"/>
          <w:szCs w:val="21"/>
          <w:lang w:val="es-CL" w:eastAsia="es-CL"/>
        </w:rPr>
      </w:pPr>
      <w:r>
        <w:rPr>
          <w:rFonts w:ascii="Verdana" w:hAnsi="Verdana" w:cs="Verdana"/>
          <w:b/>
          <w:sz w:val="21"/>
          <w:szCs w:val="21"/>
          <w:lang w:val="es-CL" w:eastAsia="es-CL"/>
        </w:rPr>
        <w:t xml:space="preserve">1.- </w:t>
      </w:r>
      <w:r>
        <w:rPr>
          <w:rFonts w:ascii="Verdana" w:hAnsi="Verdana" w:cs="Verdana"/>
          <w:b/>
          <w:sz w:val="21"/>
          <w:szCs w:val="21"/>
          <w:lang w:val="es-CL" w:eastAsia="es-CL"/>
        </w:rPr>
        <w:tab/>
      </w:r>
      <w:r w:rsidR="00E0030A" w:rsidRPr="00E0030A">
        <w:rPr>
          <w:rFonts w:ascii="Verdana" w:hAnsi="Verdana" w:cs="Verdana"/>
          <w:sz w:val="21"/>
          <w:szCs w:val="21"/>
          <w:lang w:val="es-CL" w:eastAsia="es-CL"/>
        </w:rPr>
        <w:t xml:space="preserve"> </w:t>
      </w:r>
      <w:r w:rsidR="006D44FE">
        <w:rPr>
          <w:rFonts w:ascii="Verdana" w:hAnsi="Verdana" w:cs="Verdana"/>
          <w:b/>
          <w:sz w:val="21"/>
          <w:szCs w:val="21"/>
          <w:lang w:val="es-CL" w:eastAsia="es-CL"/>
        </w:rPr>
        <w:t xml:space="preserve">AGREGASE </w:t>
      </w:r>
      <w:r w:rsidR="006D44FE" w:rsidRPr="009651F8">
        <w:rPr>
          <w:rFonts w:ascii="Verdana" w:hAnsi="Verdana" w:cs="Verdana"/>
          <w:sz w:val="21"/>
          <w:szCs w:val="21"/>
          <w:lang w:val="es-CL" w:eastAsia="es-CL"/>
        </w:rPr>
        <w:t>al numeral 10.4 Cláusula de Compra-Código, el siguiente párrafo:</w:t>
      </w:r>
    </w:p>
    <w:p w:rsidR="006D44FE" w:rsidRDefault="006D44FE" w:rsidP="006D44FE">
      <w:pPr>
        <w:autoSpaceDE w:val="0"/>
        <w:autoSpaceDN w:val="0"/>
        <w:adjustRightInd w:val="0"/>
        <w:ind w:left="1410" w:hanging="701"/>
        <w:jc w:val="both"/>
        <w:rPr>
          <w:rFonts w:ascii="Verdana" w:hAnsi="Verdana" w:cs="Verdana"/>
          <w:b/>
          <w:sz w:val="21"/>
          <w:szCs w:val="21"/>
          <w:lang w:val="es-CL" w:eastAsia="es-CL"/>
        </w:rPr>
      </w:pPr>
    </w:p>
    <w:p w:rsidR="006D44FE" w:rsidRPr="00F62B92" w:rsidRDefault="006D44FE" w:rsidP="006D44FE">
      <w:pPr>
        <w:autoSpaceDE w:val="0"/>
        <w:autoSpaceDN w:val="0"/>
        <w:adjustRightInd w:val="0"/>
        <w:ind w:left="1410" w:hanging="701"/>
        <w:jc w:val="both"/>
        <w:rPr>
          <w:rFonts w:ascii="Verdana" w:hAnsi="Verdana" w:cs="Verdana"/>
          <w:sz w:val="21"/>
          <w:szCs w:val="21"/>
          <w:lang w:val="es-CL" w:eastAsia="es-CL"/>
        </w:rPr>
      </w:pPr>
      <w:r>
        <w:rPr>
          <w:rFonts w:ascii="Verdana" w:hAnsi="Verdana" w:cs="Verdana"/>
          <w:b/>
          <w:sz w:val="21"/>
          <w:szCs w:val="21"/>
          <w:lang w:val="es-CL" w:eastAsia="es-CL"/>
        </w:rPr>
        <w:tab/>
      </w:r>
      <w:r w:rsidRPr="00F62B92">
        <w:rPr>
          <w:rFonts w:ascii="Verdana" w:hAnsi="Verdana" w:cs="Verdana"/>
          <w:sz w:val="21"/>
          <w:szCs w:val="21"/>
          <w:lang w:val="es-CL" w:eastAsia="es-CL"/>
        </w:rPr>
        <w:tab/>
        <w:t>No obstante lo anterior, cuando se trate de la cláusula FCA, se deberá señalar en este recuadro la glosa OTROS (FCA) y el código 8.</w:t>
      </w:r>
    </w:p>
    <w:p w:rsidR="006D44FE" w:rsidRDefault="006D44FE" w:rsidP="006D44FE">
      <w:pPr>
        <w:autoSpaceDE w:val="0"/>
        <w:autoSpaceDN w:val="0"/>
        <w:adjustRightInd w:val="0"/>
        <w:ind w:left="1410" w:hanging="701"/>
        <w:jc w:val="both"/>
        <w:rPr>
          <w:rFonts w:ascii="Verdana" w:hAnsi="Verdana" w:cs="Verdana"/>
          <w:b/>
          <w:sz w:val="21"/>
          <w:szCs w:val="21"/>
          <w:lang w:val="es-CL" w:eastAsia="es-CL"/>
        </w:rPr>
      </w:pPr>
    </w:p>
    <w:p w:rsidR="00C22AC9" w:rsidRPr="009651F8" w:rsidRDefault="009651F8" w:rsidP="009651F8">
      <w:pPr>
        <w:autoSpaceDE w:val="0"/>
        <w:autoSpaceDN w:val="0"/>
        <w:adjustRightInd w:val="0"/>
        <w:ind w:firstLine="708"/>
        <w:rPr>
          <w:rFonts w:ascii="Verdana" w:hAnsi="Verdana" w:cs="Verdana"/>
          <w:sz w:val="21"/>
          <w:szCs w:val="21"/>
          <w:lang w:val="es-CL" w:eastAsia="es-CL"/>
        </w:rPr>
      </w:pPr>
      <w:r>
        <w:rPr>
          <w:rFonts w:ascii="Verdana" w:hAnsi="Verdana" w:cs="Verdana"/>
          <w:b/>
          <w:sz w:val="21"/>
          <w:szCs w:val="21"/>
          <w:lang w:val="es-CL" w:eastAsia="es-CL"/>
        </w:rPr>
        <w:t>2</w:t>
      </w:r>
      <w:r w:rsidR="00C22AC9">
        <w:rPr>
          <w:rFonts w:ascii="Verdana" w:hAnsi="Verdana" w:cs="Verdana"/>
          <w:b/>
          <w:sz w:val="21"/>
          <w:szCs w:val="21"/>
          <w:lang w:val="es-CL" w:eastAsia="es-CL"/>
        </w:rPr>
        <w:t xml:space="preserve">.- </w:t>
      </w:r>
      <w:r w:rsidR="00C22AC9">
        <w:rPr>
          <w:rFonts w:ascii="Verdana" w:hAnsi="Verdana" w:cs="Verdana"/>
          <w:b/>
          <w:sz w:val="21"/>
          <w:szCs w:val="21"/>
          <w:lang w:val="es-CL" w:eastAsia="es-CL"/>
        </w:rPr>
        <w:tab/>
        <w:t xml:space="preserve">AGREGASE </w:t>
      </w:r>
      <w:r w:rsidR="00C22AC9" w:rsidRPr="009651F8">
        <w:rPr>
          <w:rFonts w:ascii="Verdana" w:hAnsi="Verdana" w:cs="Verdana"/>
          <w:sz w:val="21"/>
          <w:szCs w:val="21"/>
          <w:lang w:val="es-CL" w:eastAsia="es-CL"/>
        </w:rPr>
        <w:t>al numeral 11.4 Ajuste</w:t>
      </w:r>
      <w:r>
        <w:rPr>
          <w:rFonts w:ascii="Verdana" w:hAnsi="Verdana" w:cs="Verdana"/>
          <w:sz w:val="21"/>
          <w:szCs w:val="21"/>
          <w:lang w:val="es-CL" w:eastAsia="es-CL"/>
        </w:rPr>
        <w:t>,</w:t>
      </w:r>
      <w:r w:rsidR="00C22AC9" w:rsidRPr="009651F8">
        <w:rPr>
          <w:rFonts w:ascii="Verdana" w:hAnsi="Verdana" w:cs="Verdana"/>
          <w:sz w:val="21"/>
          <w:szCs w:val="21"/>
          <w:lang w:val="es-CL" w:eastAsia="es-CL"/>
        </w:rPr>
        <w:t xml:space="preserve"> el siguiente párrafo:</w:t>
      </w:r>
    </w:p>
    <w:p w:rsidR="00C22AC9" w:rsidRPr="009651F8" w:rsidRDefault="00C22AC9" w:rsidP="00C22AC9">
      <w:pPr>
        <w:autoSpaceDE w:val="0"/>
        <w:autoSpaceDN w:val="0"/>
        <w:adjustRightInd w:val="0"/>
        <w:rPr>
          <w:rFonts w:ascii="Verdana" w:hAnsi="Verdana" w:cs="Verdana"/>
          <w:sz w:val="21"/>
          <w:szCs w:val="21"/>
          <w:lang w:val="es-CL" w:eastAsia="es-CL"/>
        </w:rPr>
      </w:pPr>
    </w:p>
    <w:p w:rsidR="00C22AC9" w:rsidRPr="00E0030A" w:rsidRDefault="00C22AC9" w:rsidP="00C22AC9">
      <w:pPr>
        <w:autoSpaceDE w:val="0"/>
        <w:autoSpaceDN w:val="0"/>
        <w:adjustRightInd w:val="0"/>
        <w:ind w:left="1416"/>
        <w:jc w:val="both"/>
        <w:rPr>
          <w:rFonts w:ascii="Verdana" w:hAnsi="Verdana" w:cs="Verdana"/>
          <w:sz w:val="21"/>
          <w:szCs w:val="21"/>
          <w:lang w:val="es-CL" w:eastAsia="es-CL"/>
        </w:rPr>
      </w:pPr>
      <w:r w:rsidRPr="00E0030A">
        <w:rPr>
          <w:rFonts w:ascii="Verdana" w:hAnsi="Verdana" w:cs="Verdana"/>
          <w:sz w:val="21"/>
          <w:szCs w:val="21"/>
          <w:lang w:val="es-CL" w:eastAsia="es-CL"/>
        </w:rPr>
        <w:t>Cuando se trate de cláusula FCA y no existan gastos reales para conformar el FOB, utilice el guarismo 4,79% o bien 0,5% respectivamente. En este recuadro deberá consignarse el monto resultante del cálculo teórico en dólares de los E</w:t>
      </w:r>
      <w:r w:rsidR="009651F8">
        <w:rPr>
          <w:rFonts w:ascii="Verdana" w:hAnsi="Verdana" w:cs="Verdana"/>
          <w:sz w:val="21"/>
          <w:szCs w:val="21"/>
          <w:lang w:val="es-CL" w:eastAsia="es-CL"/>
        </w:rPr>
        <w:t>stados Unidos de América,</w:t>
      </w:r>
      <w:r w:rsidRPr="00E0030A">
        <w:rPr>
          <w:rFonts w:ascii="Verdana" w:hAnsi="Verdana" w:cs="Verdana"/>
          <w:sz w:val="21"/>
          <w:szCs w:val="21"/>
          <w:lang w:val="es-CL" w:eastAsia="es-CL"/>
        </w:rPr>
        <w:t xml:space="preserve"> pero como un ajuste deductivo (-), a objeto de no aumentar el valor pactado en</w:t>
      </w:r>
      <w:r w:rsidR="009651F8">
        <w:rPr>
          <w:rFonts w:ascii="Verdana" w:hAnsi="Verdana" w:cs="Verdana"/>
          <w:sz w:val="21"/>
          <w:szCs w:val="21"/>
          <w:lang w:val="es-CL" w:eastAsia="es-CL"/>
        </w:rPr>
        <w:t xml:space="preserve"> la</w:t>
      </w:r>
      <w:r w:rsidRPr="00E0030A">
        <w:rPr>
          <w:rFonts w:ascii="Verdana" w:hAnsi="Verdana" w:cs="Verdana"/>
          <w:sz w:val="21"/>
          <w:szCs w:val="21"/>
          <w:lang w:val="es-CL" w:eastAsia="es-CL"/>
        </w:rPr>
        <w:t xml:space="preserve"> cláusula FCA. </w:t>
      </w:r>
      <w:r>
        <w:rPr>
          <w:rFonts w:ascii="Verdana" w:hAnsi="Verdana" w:cs="Verdana"/>
          <w:sz w:val="21"/>
          <w:szCs w:val="21"/>
          <w:lang w:val="es-CL" w:eastAsia="es-CL"/>
        </w:rPr>
        <w:t>Cuando se trate de la vía terrestre, el 0,5% debe extraerse del monto total del flete internacional consignado en el contrato de transporte.</w:t>
      </w:r>
      <w:r w:rsidRPr="00E0030A">
        <w:rPr>
          <w:rFonts w:ascii="Verdana" w:hAnsi="Verdana" w:cs="Verdana"/>
          <w:sz w:val="21"/>
          <w:szCs w:val="21"/>
          <w:lang w:val="es-CL" w:eastAsia="es-CL"/>
        </w:rPr>
        <w:t xml:space="preserve"> </w:t>
      </w:r>
    </w:p>
    <w:p w:rsidR="006D44FE" w:rsidRDefault="006D44FE" w:rsidP="006D44FE">
      <w:pPr>
        <w:autoSpaceDE w:val="0"/>
        <w:autoSpaceDN w:val="0"/>
        <w:adjustRightInd w:val="0"/>
        <w:ind w:left="1410" w:hanging="701"/>
        <w:jc w:val="both"/>
        <w:rPr>
          <w:rFonts w:ascii="Verdana" w:hAnsi="Verdana" w:cs="Verdana"/>
          <w:b/>
          <w:sz w:val="21"/>
          <w:szCs w:val="21"/>
          <w:lang w:val="es-CL" w:eastAsia="es-CL"/>
        </w:rPr>
      </w:pPr>
    </w:p>
    <w:p w:rsidR="009651F8" w:rsidRDefault="009651F8" w:rsidP="009651F8">
      <w:pPr>
        <w:autoSpaceDE w:val="0"/>
        <w:autoSpaceDN w:val="0"/>
        <w:adjustRightInd w:val="0"/>
        <w:ind w:left="1410" w:hanging="701"/>
        <w:jc w:val="both"/>
        <w:rPr>
          <w:rFonts w:ascii="Verdana" w:hAnsi="Verdana" w:cs="Verdana"/>
          <w:b/>
          <w:sz w:val="21"/>
          <w:szCs w:val="21"/>
          <w:lang w:val="es-CL" w:eastAsia="es-CL"/>
        </w:rPr>
      </w:pPr>
    </w:p>
    <w:p w:rsidR="009651F8" w:rsidRDefault="009651F8" w:rsidP="009651F8">
      <w:pPr>
        <w:autoSpaceDE w:val="0"/>
        <w:autoSpaceDN w:val="0"/>
        <w:adjustRightInd w:val="0"/>
        <w:ind w:left="1410" w:hanging="701"/>
        <w:jc w:val="both"/>
        <w:rPr>
          <w:rFonts w:ascii="Verdana" w:hAnsi="Verdana" w:cs="Verdana"/>
          <w:b/>
          <w:sz w:val="21"/>
          <w:szCs w:val="21"/>
          <w:lang w:val="es-CL" w:eastAsia="es-CL"/>
        </w:rPr>
      </w:pPr>
    </w:p>
    <w:p w:rsidR="009651F8" w:rsidRDefault="009651F8" w:rsidP="009651F8">
      <w:pPr>
        <w:autoSpaceDE w:val="0"/>
        <w:autoSpaceDN w:val="0"/>
        <w:adjustRightInd w:val="0"/>
        <w:ind w:left="1410" w:hanging="701"/>
        <w:jc w:val="both"/>
        <w:rPr>
          <w:rFonts w:ascii="Verdana" w:hAnsi="Verdana" w:cs="Verdana"/>
          <w:b/>
          <w:sz w:val="21"/>
          <w:szCs w:val="21"/>
          <w:lang w:val="es-CL" w:eastAsia="es-CL"/>
        </w:rPr>
      </w:pPr>
    </w:p>
    <w:p w:rsidR="009651F8" w:rsidRDefault="009651F8" w:rsidP="009651F8">
      <w:pPr>
        <w:autoSpaceDE w:val="0"/>
        <w:autoSpaceDN w:val="0"/>
        <w:adjustRightInd w:val="0"/>
        <w:ind w:left="1410" w:hanging="701"/>
        <w:jc w:val="both"/>
        <w:rPr>
          <w:rFonts w:ascii="Verdana" w:hAnsi="Verdana" w:cs="Verdana"/>
          <w:b/>
          <w:sz w:val="21"/>
          <w:szCs w:val="21"/>
          <w:lang w:val="es-CL" w:eastAsia="es-CL"/>
        </w:rPr>
      </w:pPr>
    </w:p>
    <w:p w:rsidR="00A63E79" w:rsidRDefault="00C22AC9" w:rsidP="009651F8">
      <w:pPr>
        <w:autoSpaceDE w:val="0"/>
        <w:autoSpaceDN w:val="0"/>
        <w:adjustRightInd w:val="0"/>
        <w:ind w:left="1410" w:hanging="701"/>
        <w:jc w:val="both"/>
        <w:rPr>
          <w:rFonts w:ascii="Verdana" w:hAnsi="Verdana" w:cs="Verdana"/>
          <w:sz w:val="21"/>
          <w:szCs w:val="21"/>
          <w:lang w:val="es-CL" w:eastAsia="es-CL"/>
        </w:rPr>
      </w:pPr>
      <w:r>
        <w:rPr>
          <w:rFonts w:ascii="Verdana" w:hAnsi="Verdana" w:cs="Verdana"/>
          <w:b/>
          <w:sz w:val="21"/>
          <w:szCs w:val="21"/>
          <w:lang w:val="es-CL" w:eastAsia="es-CL"/>
        </w:rPr>
        <w:t>3</w:t>
      </w:r>
      <w:r w:rsidR="006D44FE">
        <w:rPr>
          <w:rFonts w:ascii="Verdana" w:hAnsi="Verdana" w:cs="Verdana"/>
          <w:b/>
          <w:sz w:val="21"/>
          <w:szCs w:val="21"/>
          <w:lang w:val="es-CL" w:eastAsia="es-CL"/>
        </w:rPr>
        <w:t xml:space="preserve">.-  </w:t>
      </w:r>
      <w:r w:rsidR="00A63E79" w:rsidRPr="006D44FE">
        <w:rPr>
          <w:rFonts w:ascii="Verdana" w:hAnsi="Verdana" w:cs="Verdana"/>
          <w:b/>
          <w:sz w:val="21"/>
          <w:szCs w:val="21"/>
          <w:lang w:val="es-CL" w:eastAsia="es-CL"/>
        </w:rPr>
        <w:t xml:space="preserve"> AGREGASE</w:t>
      </w:r>
      <w:r w:rsidR="00A63E79">
        <w:rPr>
          <w:rFonts w:ascii="Verdana" w:hAnsi="Verdana" w:cs="Verdana"/>
          <w:sz w:val="21"/>
          <w:szCs w:val="21"/>
          <w:lang w:val="es-CL" w:eastAsia="es-CL"/>
        </w:rPr>
        <w:t xml:space="preserve"> al numeral 15.- Observaciones Banco Central – S.N.A., el siguiente párrafo:</w:t>
      </w:r>
    </w:p>
    <w:p w:rsidR="00A63E79" w:rsidRDefault="00A63E79" w:rsidP="00EA79EA">
      <w:pPr>
        <w:autoSpaceDE w:val="0"/>
        <w:autoSpaceDN w:val="0"/>
        <w:adjustRightInd w:val="0"/>
        <w:rPr>
          <w:rFonts w:ascii="Verdana" w:hAnsi="Verdana" w:cs="Verdana"/>
          <w:sz w:val="21"/>
          <w:szCs w:val="21"/>
          <w:lang w:val="es-CL" w:eastAsia="es-CL"/>
        </w:rPr>
      </w:pPr>
    </w:p>
    <w:p w:rsidR="006D44FE" w:rsidRDefault="00A63E79" w:rsidP="006D44FE">
      <w:pPr>
        <w:autoSpaceDE w:val="0"/>
        <w:autoSpaceDN w:val="0"/>
        <w:adjustRightInd w:val="0"/>
        <w:ind w:left="1410"/>
        <w:jc w:val="both"/>
        <w:rPr>
          <w:rFonts w:ascii="Verdana" w:hAnsi="Verdana" w:cs="Verdana"/>
          <w:sz w:val="21"/>
          <w:szCs w:val="21"/>
          <w:lang w:val="es-CL" w:eastAsia="es-CL"/>
        </w:rPr>
      </w:pPr>
      <w:r>
        <w:rPr>
          <w:rFonts w:ascii="Verdana" w:hAnsi="Verdana" w:cs="Verdana"/>
          <w:sz w:val="21"/>
          <w:szCs w:val="21"/>
          <w:lang w:val="es-CL" w:eastAsia="es-CL"/>
        </w:rPr>
        <w:t>Cuando se haya consignado en el recuadro Ajuste, más de un monto por este concepto, se deberán detallar los respectivos ajustes</w:t>
      </w:r>
      <w:r w:rsidR="006D44FE">
        <w:rPr>
          <w:rFonts w:ascii="Verdana" w:hAnsi="Verdana" w:cs="Verdana"/>
          <w:sz w:val="21"/>
          <w:szCs w:val="21"/>
          <w:lang w:val="es-CL" w:eastAsia="es-CL"/>
        </w:rPr>
        <w:t>, a vía de ejemplo: Ajuste FCA US$...  y Ajuste por Tramo Nacional US$</w:t>
      </w:r>
      <w:proofErr w:type="gramStart"/>
      <w:r w:rsidR="006D44FE">
        <w:rPr>
          <w:rFonts w:ascii="Verdana" w:hAnsi="Verdana" w:cs="Verdana"/>
          <w:sz w:val="21"/>
          <w:szCs w:val="21"/>
          <w:lang w:val="es-CL" w:eastAsia="es-CL"/>
        </w:rPr>
        <w:t>..</w:t>
      </w:r>
      <w:proofErr w:type="gramEnd"/>
      <w:r w:rsidR="006D44FE">
        <w:rPr>
          <w:rFonts w:ascii="Verdana" w:hAnsi="Verdana" w:cs="Verdana"/>
          <w:sz w:val="21"/>
          <w:szCs w:val="21"/>
          <w:lang w:val="es-CL" w:eastAsia="es-CL"/>
        </w:rPr>
        <w:t xml:space="preserve"> Asimismo, cuando la cláusula sea FCA, se deberá señalar</w:t>
      </w:r>
      <w:r w:rsidR="009651F8">
        <w:rPr>
          <w:rFonts w:ascii="Verdana" w:hAnsi="Verdana" w:cs="Verdana"/>
          <w:sz w:val="21"/>
          <w:szCs w:val="21"/>
          <w:lang w:val="es-CL" w:eastAsia="es-CL"/>
        </w:rPr>
        <w:t xml:space="preserve"> en este recuadro</w:t>
      </w:r>
      <w:r w:rsidR="006D44FE">
        <w:rPr>
          <w:rFonts w:ascii="Verdana" w:hAnsi="Verdana" w:cs="Verdana"/>
          <w:sz w:val="21"/>
          <w:szCs w:val="21"/>
          <w:lang w:val="es-CL" w:eastAsia="es-CL"/>
        </w:rPr>
        <w:t xml:space="preserve"> la cláusula real, es decir el Código 10 y la glosa FCA. </w:t>
      </w:r>
    </w:p>
    <w:p w:rsidR="009651F8" w:rsidRDefault="009651F8" w:rsidP="009651F8">
      <w:pPr>
        <w:autoSpaceDE w:val="0"/>
        <w:autoSpaceDN w:val="0"/>
        <w:adjustRightInd w:val="0"/>
        <w:jc w:val="both"/>
        <w:rPr>
          <w:rFonts w:ascii="Verdana" w:hAnsi="Verdana" w:cs="Verdana"/>
          <w:sz w:val="21"/>
          <w:szCs w:val="21"/>
          <w:lang w:val="es-CL" w:eastAsia="es-CL"/>
        </w:rPr>
      </w:pPr>
    </w:p>
    <w:p w:rsidR="009651F8" w:rsidRDefault="009651F8" w:rsidP="00BE6992">
      <w:pPr>
        <w:autoSpaceDE w:val="0"/>
        <w:autoSpaceDN w:val="0"/>
        <w:adjustRightInd w:val="0"/>
        <w:ind w:left="705" w:hanging="705"/>
        <w:jc w:val="both"/>
        <w:rPr>
          <w:rFonts w:ascii="Verdana" w:hAnsi="Verdana" w:cs="Verdana"/>
          <w:sz w:val="21"/>
          <w:szCs w:val="21"/>
          <w:lang w:val="es-CL" w:eastAsia="es-CL"/>
        </w:rPr>
      </w:pPr>
      <w:r w:rsidRPr="00BE6992">
        <w:rPr>
          <w:rFonts w:ascii="Verdana" w:hAnsi="Verdana" w:cs="Verdana"/>
          <w:b/>
          <w:sz w:val="21"/>
          <w:szCs w:val="21"/>
          <w:lang w:val="es-CL" w:eastAsia="es-CL"/>
        </w:rPr>
        <w:t>II.-</w:t>
      </w:r>
      <w:r w:rsidRPr="00BE6992">
        <w:rPr>
          <w:rFonts w:ascii="Verdana" w:hAnsi="Verdana" w:cs="Verdana"/>
          <w:b/>
          <w:sz w:val="21"/>
          <w:szCs w:val="21"/>
          <w:lang w:val="es-CL" w:eastAsia="es-CL"/>
        </w:rPr>
        <w:tab/>
        <w:t>SUSTITUYANSE</w:t>
      </w:r>
      <w:r>
        <w:rPr>
          <w:rFonts w:ascii="Verdana" w:hAnsi="Verdana" w:cs="Verdana"/>
          <w:sz w:val="21"/>
          <w:szCs w:val="21"/>
          <w:lang w:val="es-CL" w:eastAsia="es-CL"/>
        </w:rPr>
        <w:t xml:space="preserve"> las Hojas </w:t>
      </w:r>
      <w:r w:rsidRPr="00BE6992">
        <w:rPr>
          <w:rFonts w:ascii="Verdana" w:hAnsi="Verdana" w:cs="Verdana"/>
          <w:b/>
          <w:sz w:val="21"/>
          <w:szCs w:val="21"/>
          <w:lang w:val="es-CL" w:eastAsia="es-CL"/>
        </w:rPr>
        <w:t>ANEXO 18-11;</w:t>
      </w:r>
      <w:r>
        <w:rPr>
          <w:rFonts w:ascii="Verdana" w:hAnsi="Verdana" w:cs="Verdana"/>
          <w:sz w:val="21"/>
          <w:szCs w:val="21"/>
          <w:lang w:val="es-CL" w:eastAsia="es-CL"/>
        </w:rPr>
        <w:t xml:space="preserve"> </w:t>
      </w:r>
      <w:r w:rsidRPr="00BE6992">
        <w:rPr>
          <w:rFonts w:ascii="Verdana" w:hAnsi="Verdana" w:cs="Verdana"/>
          <w:b/>
          <w:sz w:val="21"/>
          <w:szCs w:val="21"/>
          <w:lang w:val="es-CL" w:eastAsia="es-CL"/>
        </w:rPr>
        <w:t>ANEXO 18-12</w:t>
      </w:r>
      <w:r>
        <w:rPr>
          <w:rFonts w:ascii="Verdana" w:hAnsi="Verdana" w:cs="Verdana"/>
          <w:sz w:val="21"/>
          <w:szCs w:val="21"/>
          <w:lang w:val="es-CL" w:eastAsia="es-CL"/>
        </w:rPr>
        <w:t xml:space="preserve"> y </w:t>
      </w:r>
      <w:r w:rsidRPr="00BE6992">
        <w:rPr>
          <w:rFonts w:ascii="Verdana" w:hAnsi="Verdana" w:cs="Verdana"/>
          <w:b/>
          <w:sz w:val="21"/>
          <w:szCs w:val="21"/>
          <w:lang w:val="es-CL" w:eastAsia="es-CL"/>
        </w:rPr>
        <w:t>ANEXO 18-20,</w:t>
      </w:r>
      <w:r>
        <w:rPr>
          <w:rFonts w:ascii="Verdana" w:hAnsi="Verdana" w:cs="Verdana"/>
          <w:sz w:val="21"/>
          <w:szCs w:val="21"/>
          <w:lang w:val="es-CL" w:eastAsia="es-CL"/>
        </w:rPr>
        <w:t xml:space="preserve"> por las que se adjuntar a la presente resolución.</w:t>
      </w:r>
    </w:p>
    <w:p w:rsidR="009651F8" w:rsidRDefault="009651F8" w:rsidP="009651F8">
      <w:pPr>
        <w:autoSpaceDE w:val="0"/>
        <w:autoSpaceDN w:val="0"/>
        <w:adjustRightInd w:val="0"/>
        <w:jc w:val="both"/>
        <w:rPr>
          <w:rFonts w:ascii="Verdana" w:hAnsi="Verdana" w:cs="Verdana"/>
          <w:sz w:val="21"/>
          <w:szCs w:val="21"/>
          <w:lang w:val="es-CL" w:eastAsia="es-CL"/>
        </w:rPr>
      </w:pPr>
    </w:p>
    <w:p w:rsidR="009651F8" w:rsidRDefault="009651F8" w:rsidP="00BE6992">
      <w:pPr>
        <w:autoSpaceDE w:val="0"/>
        <w:autoSpaceDN w:val="0"/>
        <w:adjustRightInd w:val="0"/>
        <w:ind w:left="705"/>
        <w:jc w:val="both"/>
        <w:rPr>
          <w:rFonts w:ascii="Verdana" w:hAnsi="Verdana" w:cs="Verdana"/>
          <w:sz w:val="21"/>
          <w:szCs w:val="21"/>
          <w:lang w:val="es-CL" w:eastAsia="es-CL"/>
        </w:rPr>
      </w:pPr>
      <w:r>
        <w:rPr>
          <w:rFonts w:ascii="Verdana" w:hAnsi="Verdana" w:cs="Verdana"/>
          <w:sz w:val="21"/>
          <w:szCs w:val="21"/>
          <w:lang w:val="es-CL" w:eastAsia="es-CL"/>
        </w:rPr>
        <w:t>Esta instrucción comenzará a regir a contar de la fecha de publicación en el Diario oficial.</w:t>
      </w:r>
    </w:p>
    <w:p w:rsidR="009651F8" w:rsidRDefault="009651F8" w:rsidP="009651F8">
      <w:pPr>
        <w:autoSpaceDE w:val="0"/>
        <w:autoSpaceDN w:val="0"/>
        <w:adjustRightInd w:val="0"/>
        <w:jc w:val="both"/>
        <w:rPr>
          <w:rFonts w:ascii="Verdana" w:hAnsi="Verdana" w:cs="Verdana"/>
          <w:sz w:val="21"/>
          <w:szCs w:val="21"/>
          <w:lang w:val="es-CL" w:eastAsia="es-CL"/>
        </w:rPr>
      </w:pPr>
    </w:p>
    <w:p w:rsidR="009651F8" w:rsidRDefault="009651F8" w:rsidP="00BE6992">
      <w:pPr>
        <w:autoSpaceDE w:val="0"/>
        <w:autoSpaceDN w:val="0"/>
        <w:adjustRightInd w:val="0"/>
        <w:ind w:left="705"/>
        <w:jc w:val="both"/>
        <w:rPr>
          <w:rFonts w:ascii="Verdana" w:hAnsi="Verdana" w:cs="Verdana"/>
          <w:b/>
          <w:sz w:val="21"/>
          <w:szCs w:val="21"/>
          <w:lang w:val="es-CL" w:eastAsia="es-CL"/>
        </w:rPr>
      </w:pPr>
      <w:r w:rsidRPr="00BE6992">
        <w:rPr>
          <w:rFonts w:ascii="Verdana" w:hAnsi="Verdana" w:cs="Verdana"/>
          <w:b/>
          <w:sz w:val="21"/>
          <w:szCs w:val="21"/>
          <w:lang w:val="es-CL" w:eastAsia="es-CL"/>
        </w:rPr>
        <w:t>ANOTESE, COMUNIQUESE Y PUBLIQUESE EN</w:t>
      </w:r>
      <w:r w:rsidR="00237077">
        <w:rPr>
          <w:rFonts w:ascii="Verdana" w:hAnsi="Verdana" w:cs="Verdana"/>
          <w:b/>
          <w:sz w:val="21"/>
          <w:szCs w:val="21"/>
          <w:lang w:val="es-CL" w:eastAsia="es-CL"/>
        </w:rPr>
        <w:t xml:space="preserve"> EL DIARIO OFICIAL Y EN</w:t>
      </w:r>
      <w:r w:rsidRPr="00BE6992">
        <w:rPr>
          <w:rFonts w:ascii="Verdana" w:hAnsi="Verdana" w:cs="Verdana"/>
          <w:b/>
          <w:sz w:val="21"/>
          <w:szCs w:val="21"/>
          <w:lang w:val="es-CL" w:eastAsia="es-CL"/>
        </w:rPr>
        <w:t xml:space="preserve"> LA </w:t>
      </w:r>
      <w:proofErr w:type="gramStart"/>
      <w:r w:rsidRPr="00BE6992">
        <w:rPr>
          <w:rFonts w:ascii="Verdana" w:hAnsi="Verdana" w:cs="Verdana"/>
          <w:b/>
          <w:sz w:val="21"/>
          <w:szCs w:val="21"/>
          <w:lang w:val="es-CL" w:eastAsia="es-CL"/>
        </w:rPr>
        <w:t>PAGINA</w:t>
      </w:r>
      <w:proofErr w:type="gramEnd"/>
      <w:r w:rsidRPr="00BE6992">
        <w:rPr>
          <w:rFonts w:ascii="Verdana" w:hAnsi="Verdana" w:cs="Verdana"/>
          <w:b/>
          <w:sz w:val="21"/>
          <w:szCs w:val="21"/>
          <w:lang w:val="es-CL" w:eastAsia="es-CL"/>
        </w:rPr>
        <w:t xml:space="preserve"> WEB DEL SERVICIO</w:t>
      </w:r>
      <w:r w:rsidR="00BE6992">
        <w:rPr>
          <w:rFonts w:ascii="Verdana" w:hAnsi="Verdana" w:cs="Verdana"/>
          <w:b/>
          <w:sz w:val="21"/>
          <w:szCs w:val="21"/>
          <w:lang w:val="es-CL" w:eastAsia="es-CL"/>
        </w:rPr>
        <w:t>.</w:t>
      </w: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r>
        <w:rPr>
          <w:rFonts w:ascii="Verdana" w:hAnsi="Verdana" w:cs="Verdana"/>
          <w:b/>
          <w:sz w:val="21"/>
          <w:szCs w:val="21"/>
          <w:lang w:val="es-CL" w:eastAsia="es-CL"/>
        </w:rPr>
        <w:t xml:space="preserve">                                        </w:t>
      </w: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r>
        <w:rPr>
          <w:rFonts w:ascii="Verdana" w:hAnsi="Verdana" w:cs="Verdana"/>
          <w:b/>
          <w:sz w:val="21"/>
          <w:szCs w:val="21"/>
          <w:lang w:val="es-CL" w:eastAsia="es-CL"/>
        </w:rPr>
        <w:t xml:space="preserve">                                     RODOLFO ALVAREZ RAPAPORT</w:t>
      </w:r>
    </w:p>
    <w:p w:rsidR="00BE6992" w:rsidRDefault="00BE6992" w:rsidP="00BE6992">
      <w:pPr>
        <w:autoSpaceDE w:val="0"/>
        <w:autoSpaceDN w:val="0"/>
        <w:adjustRightInd w:val="0"/>
        <w:ind w:left="705"/>
        <w:jc w:val="both"/>
        <w:rPr>
          <w:rFonts w:ascii="Verdana" w:hAnsi="Verdana" w:cs="Verdana"/>
          <w:b/>
          <w:sz w:val="21"/>
          <w:szCs w:val="21"/>
          <w:lang w:val="es-CL" w:eastAsia="es-CL"/>
        </w:rPr>
      </w:pPr>
      <w:r>
        <w:rPr>
          <w:rFonts w:ascii="Verdana" w:hAnsi="Verdana" w:cs="Verdana"/>
          <w:b/>
          <w:sz w:val="21"/>
          <w:szCs w:val="21"/>
          <w:lang w:val="es-CL" w:eastAsia="es-CL"/>
        </w:rPr>
        <w:t xml:space="preserve">                                  DIRECTOR NACIONAL DE ADUANAS</w:t>
      </w: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p>
    <w:p w:rsidR="00BE6992" w:rsidRDefault="00BE6992" w:rsidP="00BE6992">
      <w:pPr>
        <w:autoSpaceDE w:val="0"/>
        <w:autoSpaceDN w:val="0"/>
        <w:adjustRightInd w:val="0"/>
        <w:ind w:left="705"/>
        <w:jc w:val="both"/>
        <w:rPr>
          <w:rFonts w:ascii="Verdana" w:hAnsi="Verdana" w:cs="Verdana"/>
          <w:b/>
          <w:sz w:val="21"/>
          <w:szCs w:val="21"/>
          <w:lang w:val="es-CL" w:eastAsia="es-CL"/>
        </w:rPr>
      </w:pPr>
      <w:r>
        <w:rPr>
          <w:rFonts w:ascii="Verdana" w:hAnsi="Verdana" w:cs="Verdana"/>
          <w:b/>
          <w:sz w:val="21"/>
          <w:szCs w:val="21"/>
          <w:lang w:val="es-CL" w:eastAsia="es-CL"/>
        </w:rPr>
        <w:t>AAL/GFA/MPMR/GVL/GMA</w:t>
      </w:r>
    </w:p>
    <w:p w:rsidR="00BE6992" w:rsidRDefault="00BE6992" w:rsidP="00BE6992">
      <w:pPr>
        <w:autoSpaceDE w:val="0"/>
        <w:autoSpaceDN w:val="0"/>
        <w:adjustRightInd w:val="0"/>
        <w:ind w:left="705"/>
        <w:jc w:val="both"/>
        <w:rPr>
          <w:rFonts w:ascii="Verdana" w:hAnsi="Verdana" w:cs="Verdana"/>
          <w:b/>
          <w:sz w:val="21"/>
          <w:szCs w:val="21"/>
          <w:lang w:val="es-CL" w:eastAsia="es-CL"/>
        </w:rPr>
      </w:pPr>
      <w:r>
        <w:rPr>
          <w:rFonts w:ascii="Verdana" w:hAnsi="Verdana" w:cs="Verdana"/>
          <w:b/>
          <w:sz w:val="21"/>
          <w:szCs w:val="21"/>
          <w:lang w:val="es-CL" w:eastAsia="es-CL"/>
        </w:rPr>
        <w:t>02.08.2013</w:t>
      </w:r>
    </w:p>
    <w:p w:rsidR="00BE6992" w:rsidRDefault="00BE6992" w:rsidP="00BE6992">
      <w:pPr>
        <w:autoSpaceDE w:val="0"/>
        <w:autoSpaceDN w:val="0"/>
        <w:adjustRightInd w:val="0"/>
        <w:ind w:left="705"/>
        <w:jc w:val="both"/>
        <w:rPr>
          <w:rFonts w:ascii="Verdana" w:hAnsi="Verdana" w:cs="Verdana"/>
          <w:b/>
          <w:sz w:val="21"/>
          <w:szCs w:val="21"/>
          <w:lang w:val="es-CL" w:eastAsia="es-CL"/>
        </w:rPr>
      </w:pPr>
      <w:proofErr w:type="spellStart"/>
      <w:r>
        <w:rPr>
          <w:rFonts w:ascii="Verdana" w:hAnsi="Verdana" w:cs="Verdana"/>
          <w:b/>
          <w:sz w:val="21"/>
          <w:szCs w:val="21"/>
          <w:lang w:val="es-CL" w:eastAsia="es-CL"/>
        </w:rPr>
        <w:t>Arc</w:t>
      </w:r>
      <w:proofErr w:type="spellEnd"/>
      <w:r>
        <w:rPr>
          <w:rFonts w:ascii="Verdana" w:hAnsi="Verdana" w:cs="Verdana"/>
          <w:b/>
          <w:sz w:val="21"/>
          <w:szCs w:val="21"/>
          <w:lang w:val="es-CL" w:eastAsia="es-CL"/>
        </w:rPr>
        <w:t xml:space="preserve">: </w:t>
      </w:r>
      <w:proofErr w:type="spellStart"/>
      <w:r w:rsidRPr="00BE6992">
        <w:rPr>
          <w:rFonts w:ascii="Verdana" w:hAnsi="Verdana" w:cs="Verdana"/>
          <w:b/>
          <w:sz w:val="16"/>
          <w:szCs w:val="16"/>
          <w:lang w:val="es-CL" w:eastAsia="es-CL"/>
        </w:rPr>
        <w:t>Reg.Partes</w:t>
      </w:r>
      <w:proofErr w:type="spellEnd"/>
      <w:r w:rsidRPr="00BE6992">
        <w:rPr>
          <w:rFonts w:ascii="Verdana" w:hAnsi="Verdana" w:cs="Verdana"/>
          <w:b/>
          <w:sz w:val="16"/>
          <w:szCs w:val="16"/>
          <w:lang w:val="es-CL" w:eastAsia="es-CL"/>
        </w:rPr>
        <w:t xml:space="preserve"> 36317 Resolución FCA</w:t>
      </w:r>
    </w:p>
    <w:p w:rsidR="00BE6992" w:rsidRPr="00BE6992" w:rsidRDefault="00BE6992" w:rsidP="00BE6992">
      <w:pPr>
        <w:autoSpaceDE w:val="0"/>
        <w:autoSpaceDN w:val="0"/>
        <w:adjustRightInd w:val="0"/>
        <w:ind w:left="705"/>
        <w:jc w:val="both"/>
        <w:rPr>
          <w:rFonts w:ascii="Verdana" w:hAnsi="Verdana" w:cs="Verdana"/>
          <w:b/>
          <w:sz w:val="16"/>
          <w:szCs w:val="16"/>
          <w:lang w:val="es-CL" w:eastAsia="es-CL"/>
        </w:rPr>
      </w:pPr>
      <w:r w:rsidRPr="00BE6992">
        <w:rPr>
          <w:rFonts w:ascii="Verdana" w:hAnsi="Verdana" w:cs="Verdana"/>
          <w:b/>
          <w:sz w:val="16"/>
          <w:szCs w:val="16"/>
          <w:lang w:val="es-CL" w:eastAsia="es-CL"/>
        </w:rPr>
        <w:t>DISTRIBUCION</w:t>
      </w:r>
    </w:p>
    <w:p w:rsidR="00BE6992" w:rsidRPr="00BE6992" w:rsidRDefault="00BE6992" w:rsidP="00BE6992">
      <w:pPr>
        <w:autoSpaceDE w:val="0"/>
        <w:autoSpaceDN w:val="0"/>
        <w:adjustRightInd w:val="0"/>
        <w:ind w:left="705"/>
        <w:jc w:val="both"/>
        <w:rPr>
          <w:rFonts w:ascii="Verdana" w:hAnsi="Verdana" w:cs="Verdana"/>
          <w:b/>
          <w:sz w:val="16"/>
          <w:szCs w:val="16"/>
          <w:lang w:val="es-CL" w:eastAsia="es-CL"/>
        </w:rPr>
      </w:pPr>
      <w:r w:rsidRPr="00BE6992">
        <w:rPr>
          <w:rFonts w:ascii="Verdana" w:hAnsi="Verdana" w:cs="Verdana"/>
          <w:b/>
          <w:sz w:val="16"/>
          <w:szCs w:val="16"/>
          <w:lang w:val="es-CL" w:eastAsia="es-CL"/>
        </w:rPr>
        <w:t>ADUANAS ARICA/P.ARENAS</w:t>
      </w:r>
    </w:p>
    <w:p w:rsidR="00BE6992" w:rsidRPr="00BE6992" w:rsidRDefault="00BE6992" w:rsidP="00BE6992">
      <w:pPr>
        <w:autoSpaceDE w:val="0"/>
        <w:autoSpaceDN w:val="0"/>
        <w:adjustRightInd w:val="0"/>
        <w:ind w:left="705"/>
        <w:jc w:val="both"/>
        <w:rPr>
          <w:rFonts w:ascii="Verdana" w:hAnsi="Verdana" w:cs="Verdana"/>
          <w:b/>
          <w:sz w:val="16"/>
          <w:szCs w:val="16"/>
          <w:lang w:val="es-CL" w:eastAsia="es-CL"/>
        </w:rPr>
      </w:pPr>
      <w:r w:rsidRPr="00BE6992">
        <w:rPr>
          <w:rFonts w:ascii="Verdana" w:hAnsi="Verdana" w:cs="Verdana"/>
          <w:b/>
          <w:sz w:val="16"/>
          <w:szCs w:val="16"/>
          <w:lang w:val="es-CL" w:eastAsia="es-CL"/>
        </w:rPr>
        <w:t>SUBDS Y DEPTOS DNA</w:t>
      </w:r>
    </w:p>
    <w:p w:rsidR="00BE6992" w:rsidRPr="00BE6992" w:rsidRDefault="00BE6992" w:rsidP="00BE6992">
      <w:pPr>
        <w:autoSpaceDE w:val="0"/>
        <w:autoSpaceDN w:val="0"/>
        <w:adjustRightInd w:val="0"/>
        <w:ind w:left="705"/>
        <w:jc w:val="both"/>
        <w:rPr>
          <w:rFonts w:ascii="Verdana" w:hAnsi="Verdana" w:cs="Verdana"/>
          <w:b/>
          <w:sz w:val="16"/>
          <w:szCs w:val="16"/>
          <w:lang w:val="es-CL" w:eastAsia="es-CL"/>
        </w:rPr>
      </w:pPr>
      <w:r w:rsidRPr="00BE6992">
        <w:rPr>
          <w:rFonts w:ascii="Verdana" w:hAnsi="Verdana" w:cs="Verdana"/>
          <w:b/>
          <w:sz w:val="16"/>
          <w:szCs w:val="16"/>
          <w:lang w:val="es-CL" w:eastAsia="es-CL"/>
        </w:rPr>
        <w:t>CAMARA ADUANERA DE CHILE AG</w:t>
      </w:r>
    </w:p>
    <w:p w:rsidR="00BE6992" w:rsidRPr="00BE6992" w:rsidRDefault="00BE6992" w:rsidP="00BE6992">
      <w:pPr>
        <w:autoSpaceDE w:val="0"/>
        <w:autoSpaceDN w:val="0"/>
        <w:adjustRightInd w:val="0"/>
        <w:ind w:left="705"/>
        <w:jc w:val="both"/>
        <w:rPr>
          <w:rFonts w:ascii="Verdana" w:hAnsi="Verdana" w:cs="Verdana"/>
          <w:b/>
          <w:sz w:val="16"/>
          <w:szCs w:val="16"/>
          <w:lang w:val="es-CL" w:eastAsia="es-CL"/>
        </w:rPr>
      </w:pPr>
      <w:r w:rsidRPr="00BE6992">
        <w:rPr>
          <w:rFonts w:ascii="Verdana" w:hAnsi="Verdana" w:cs="Verdana"/>
          <w:b/>
          <w:sz w:val="16"/>
          <w:szCs w:val="16"/>
          <w:lang w:val="es-CL" w:eastAsia="es-CL"/>
        </w:rPr>
        <w:t>ANAGENA AG.</w:t>
      </w:r>
    </w:p>
    <w:p w:rsidR="00BE6992" w:rsidRPr="00BE6992" w:rsidRDefault="00BE6992" w:rsidP="00BE6992">
      <w:pPr>
        <w:autoSpaceDE w:val="0"/>
        <w:autoSpaceDN w:val="0"/>
        <w:adjustRightInd w:val="0"/>
        <w:ind w:left="705"/>
        <w:jc w:val="both"/>
        <w:rPr>
          <w:rFonts w:ascii="Verdana" w:hAnsi="Verdana" w:cs="Verdana"/>
          <w:b/>
          <w:sz w:val="16"/>
          <w:szCs w:val="16"/>
          <w:lang w:val="es-CL" w:eastAsia="es-CL"/>
        </w:rPr>
      </w:pPr>
      <w:r w:rsidRPr="00BE6992">
        <w:rPr>
          <w:rFonts w:ascii="Verdana" w:hAnsi="Verdana" w:cs="Verdana"/>
          <w:b/>
          <w:sz w:val="16"/>
          <w:szCs w:val="16"/>
          <w:lang w:val="es-CL" w:eastAsia="es-CL"/>
        </w:rPr>
        <w:t>VAN EDI</w:t>
      </w:r>
    </w:p>
    <w:p w:rsidR="00BE6992" w:rsidRPr="00BE6992" w:rsidRDefault="00BE6992">
      <w:pPr>
        <w:autoSpaceDE w:val="0"/>
        <w:autoSpaceDN w:val="0"/>
        <w:adjustRightInd w:val="0"/>
        <w:ind w:left="705"/>
        <w:jc w:val="both"/>
        <w:rPr>
          <w:rFonts w:ascii="Verdana" w:hAnsi="Verdana" w:cs="Verdana"/>
          <w:b/>
          <w:sz w:val="16"/>
          <w:szCs w:val="16"/>
          <w:lang w:val="es-CL" w:eastAsia="es-CL"/>
        </w:rPr>
      </w:pPr>
    </w:p>
    <w:sectPr w:rsidR="00BE6992" w:rsidRPr="00BE6992" w:rsidSect="00CC23EB">
      <w:headerReference w:type="default" r:id="rId8"/>
      <w:footerReference w:type="default" r:id="rId9"/>
      <w:pgSz w:w="12242" w:h="18722" w:code="120"/>
      <w:pgMar w:top="0" w:right="1183" w:bottom="1418" w:left="1843" w:header="284"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F8" w:rsidRDefault="006557F8">
      <w:r>
        <w:separator/>
      </w:r>
    </w:p>
  </w:endnote>
  <w:endnote w:type="continuationSeparator" w:id="0">
    <w:p w:rsidR="006557F8" w:rsidRDefault="00655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7F281C" w:rsidP="00ED34CA">
    <w:pPr>
      <w:pStyle w:val="Piedepgina"/>
      <w:tabs>
        <w:tab w:val="clear" w:pos="8504"/>
        <w:tab w:val="right" w:pos="10490"/>
      </w:tabs>
      <w:ind w:left="-1985"/>
    </w:pPr>
    <w:r w:rsidRPr="007F281C">
      <w:rPr>
        <w:noProof/>
        <w:szCs w:val="20"/>
        <w:lang w:val="es-ES" w:eastAsia="es-ES"/>
      </w:rPr>
      <w:pict>
        <v:group id="_x0000_s2062" style="position:absolute;left:0;text-align:left;margin-left:-79.1pt;margin-top:-130.55pt;width:243pt;height:69.25pt;z-index:251657728" coordorigin="81,16619" coordsize="4860,1385">
          <v:shapetype id="_x0000_t202" coordsize="21600,21600" o:spt="202" path="m,l,21600r21600,l21600,xe">
            <v:stroke joinstyle="miter"/>
            <v:path gradientshapeok="t" o:connecttype="rect"/>
          </v:shapetype>
          <v:shape id="_x0000_s2053" type="#_x0000_t202" style="position:absolute;left:1701;top:16924;width:3240;height:1080" filled="f" stroked="f">
            <v:textbox style="mso-next-textbox:#_x0000_s2053">
              <w:txbxContent>
                <w:p w:rsidR="00B35381" w:rsidRPr="00310B51" w:rsidRDefault="00B35381" w:rsidP="00E83BB6">
                  <w:pPr>
                    <w:pStyle w:val="Piedepgina"/>
                    <w:tabs>
                      <w:tab w:val="clear" w:pos="8504"/>
                      <w:tab w:val="right" w:pos="10490"/>
                    </w:tabs>
                    <w:rPr>
                      <w:rFonts w:ascii="Verdana" w:hAnsi="Verdana" w:cs="Arial"/>
                      <w:color w:val="999999"/>
                      <w:sz w:val="16"/>
                      <w:szCs w:val="18"/>
                      <w:lang w:val="es-ES"/>
                    </w:rPr>
                  </w:pPr>
                </w:p>
              </w:txbxContent>
            </v:textbox>
          </v:shape>
          <v:shape id="_x0000_s2059" type="#_x0000_t202" style="position:absolute;left:81;top:16619;width:397;height:420;mso-wrap-style:none" o:regroupid="2" filled="f" stroked="f">
            <v:textbox style="mso-next-textbox:#_x0000_s2059;mso-fit-shape-to-text:t">
              <w:txbxContent>
                <w:p w:rsidR="00B35381" w:rsidRDefault="00B35381"/>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F8" w:rsidRDefault="006557F8">
      <w:r>
        <w:separator/>
      </w:r>
    </w:p>
  </w:footnote>
  <w:footnote w:type="continuationSeparator" w:id="0">
    <w:p w:rsidR="006557F8" w:rsidRDefault="00655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5">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2"/>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3314">
      <o:colormenu v:ext="edit" fillcolor="none" strokecolor="none"/>
    </o:shapedefaults>
    <o:shapelayout v:ext="edit">
      <o:idmap v:ext="edit" data="2"/>
      <o:regrouptable v:ext="edit">
        <o:entry new="1" old="0"/>
        <o:entry new="2" old="0"/>
      </o:regrouptable>
    </o:shapelayout>
  </w:hdrShapeDefaults>
  <w:footnotePr>
    <w:footnote w:id="-1"/>
    <w:footnote w:id="0"/>
  </w:footnotePr>
  <w:endnotePr>
    <w:endnote w:id="-1"/>
    <w:endnote w:id="0"/>
  </w:endnotePr>
  <w:compat/>
  <w:rsids>
    <w:rsidRoot w:val="004D78E2"/>
    <w:rsid w:val="00037BE0"/>
    <w:rsid w:val="000E7092"/>
    <w:rsid w:val="000F3352"/>
    <w:rsid w:val="0011268A"/>
    <w:rsid w:val="00147765"/>
    <w:rsid w:val="00162FD1"/>
    <w:rsid w:val="00166B4E"/>
    <w:rsid w:val="00177DC2"/>
    <w:rsid w:val="001F53D2"/>
    <w:rsid w:val="002307FC"/>
    <w:rsid w:val="0023121D"/>
    <w:rsid w:val="00231C7D"/>
    <w:rsid w:val="00237077"/>
    <w:rsid w:val="00250A1A"/>
    <w:rsid w:val="00281C46"/>
    <w:rsid w:val="002D5572"/>
    <w:rsid w:val="002F1E56"/>
    <w:rsid w:val="00310B51"/>
    <w:rsid w:val="003C1096"/>
    <w:rsid w:val="003C3E71"/>
    <w:rsid w:val="003D3919"/>
    <w:rsid w:val="00403809"/>
    <w:rsid w:val="004049AE"/>
    <w:rsid w:val="00422159"/>
    <w:rsid w:val="004353FE"/>
    <w:rsid w:val="00446D9A"/>
    <w:rsid w:val="004560CE"/>
    <w:rsid w:val="004660FC"/>
    <w:rsid w:val="00473E86"/>
    <w:rsid w:val="00494CCF"/>
    <w:rsid w:val="004A1704"/>
    <w:rsid w:val="004A3329"/>
    <w:rsid w:val="004D4DD6"/>
    <w:rsid w:val="004D78E2"/>
    <w:rsid w:val="005668B9"/>
    <w:rsid w:val="00590E3E"/>
    <w:rsid w:val="005B680C"/>
    <w:rsid w:val="005C19CB"/>
    <w:rsid w:val="005D11EC"/>
    <w:rsid w:val="005E12FB"/>
    <w:rsid w:val="00620D82"/>
    <w:rsid w:val="006460C1"/>
    <w:rsid w:val="00646512"/>
    <w:rsid w:val="00651C76"/>
    <w:rsid w:val="006557F8"/>
    <w:rsid w:val="0068168E"/>
    <w:rsid w:val="006D44FE"/>
    <w:rsid w:val="00714476"/>
    <w:rsid w:val="00753214"/>
    <w:rsid w:val="0076248A"/>
    <w:rsid w:val="0078371F"/>
    <w:rsid w:val="007A4747"/>
    <w:rsid w:val="007A6720"/>
    <w:rsid w:val="007B3A86"/>
    <w:rsid w:val="007B51F7"/>
    <w:rsid w:val="007B6796"/>
    <w:rsid w:val="007C0A84"/>
    <w:rsid w:val="007F281C"/>
    <w:rsid w:val="0080317C"/>
    <w:rsid w:val="00831E9D"/>
    <w:rsid w:val="00835B98"/>
    <w:rsid w:val="008441E6"/>
    <w:rsid w:val="008605EB"/>
    <w:rsid w:val="008724D9"/>
    <w:rsid w:val="008A4A6A"/>
    <w:rsid w:val="008A5654"/>
    <w:rsid w:val="008F24F5"/>
    <w:rsid w:val="009158CA"/>
    <w:rsid w:val="00954AB5"/>
    <w:rsid w:val="0096496A"/>
    <w:rsid w:val="009651F8"/>
    <w:rsid w:val="00966141"/>
    <w:rsid w:val="00985F9D"/>
    <w:rsid w:val="009B3B92"/>
    <w:rsid w:val="009F18D3"/>
    <w:rsid w:val="00A63E79"/>
    <w:rsid w:val="00A72DA0"/>
    <w:rsid w:val="00A76460"/>
    <w:rsid w:val="00A95664"/>
    <w:rsid w:val="00AB2D24"/>
    <w:rsid w:val="00AC0EB2"/>
    <w:rsid w:val="00AC5EEE"/>
    <w:rsid w:val="00B0105D"/>
    <w:rsid w:val="00B0256F"/>
    <w:rsid w:val="00B271E0"/>
    <w:rsid w:val="00B35381"/>
    <w:rsid w:val="00BA557F"/>
    <w:rsid w:val="00BC47DA"/>
    <w:rsid w:val="00BE4D7D"/>
    <w:rsid w:val="00BE6992"/>
    <w:rsid w:val="00C02272"/>
    <w:rsid w:val="00C22AC9"/>
    <w:rsid w:val="00C73AF3"/>
    <w:rsid w:val="00CC23EB"/>
    <w:rsid w:val="00D10123"/>
    <w:rsid w:val="00DA7849"/>
    <w:rsid w:val="00DB0D3B"/>
    <w:rsid w:val="00DD0015"/>
    <w:rsid w:val="00DD5FA2"/>
    <w:rsid w:val="00DE3989"/>
    <w:rsid w:val="00E0030A"/>
    <w:rsid w:val="00E04FAF"/>
    <w:rsid w:val="00E33C44"/>
    <w:rsid w:val="00E667FF"/>
    <w:rsid w:val="00E70A7E"/>
    <w:rsid w:val="00E83BB6"/>
    <w:rsid w:val="00EA12B8"/>
    <w:rsid w:val="00EA79EA"/>
    <w:rsid w:val="00ED2D1E"/>
    <w:rsid w:val="00ED34CA"/>
    <w:rsid w:val="00EF4506"/>
    <w:rsid w:val="00F27991"/>
    <w:rsid w:val="00F55796"/>
    <w:rsid w:val="00F566DA"/>
    <w:rsid w:val="00F62B92"/>
    <w:rsid w:val="00F755AD"/>
    <w:rsid w:val="00F94030"/>
    <w:rsid w:val="00F9420D"/>
    <w:rsid w:val="00FC038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s>
</file>

<file path=word/webSettings.xml><?xml version="1.0" encoding="utf-8"?>
<w:webSettings xmlns:r="http://schemas.openxmlformats.org/officeDocument/2006/relationships" xmlns:w="http://schemas.openxmlformats.org/wordprocessingml/2006/main">
  <w:divs>
    <w:div w:id="860240844">
      <w:bodyDiv w:val="1"/>
      <w:marLeft w:val="0"/>
      <w:marRight w:val="0"/>
      <w:marTop w:val="0"/>
      <w:marBottom w:val="0"/>
      <w:divBdr>
        <w:top w:val="none" w:sz="0" w:space="0" w:color="auto"/>
        <w:left w:val="none" w:sz="0" w:space="0" w:color="auto"/>
        <w:bottom w:val="none" w:sz="0" w:space="0" w:color="auto"/>
        <w:right w:val="none" w:sz="0" w:space="0" w:color="auto"/>
      </w:divBdr>
      <w:divsChild>
        <w:div w:id="1256984348">
          <w:marLeft w:val="0"/>
          <w:marRight w:val="0"/>
          <w:marTop w:val="0"/>
          <w:marBottom w:val="0"/>
          <w:divBdr>
            <w:top w:val="none" w:sz="0" w:space="0" w:color="auto"/>
            <w:left w:val="none" w:sz="0" w:space="0" w:color="auto"/>
            <w:bottom w:val="none" w:sz="0" w:space="0" w:color="auto"/>
            <w:right w:val="none" w:sz="0" w:space="0" w:color="auto"/>
          </w:divBdr>
          <w:divsChild>
            <w:div w:id="387605836">
              <w:marLeft w:val="0"/>
              <w:marRight w:val="0"/>
              <w:marTop w:val="0"/>
              <w:marBottom w:val="0"/>
              <w:divBdr>
                <w:top w:val="none" w:sz="0" w:space="0" w:color="auto"/>
                <w:left w:val="none" w:sz="0" w:space="0" w:color="auto"/>
                <w:bottom w:val="none" w:sz="0" w:space="0" w:color="auto"/>
                <w:right w:val="none" w:sz="0" w:space="0" w:color="auto"/>
              </w:divBdr>
              <w:divsChild>
                <w:div w:id="1028799436">
                  <w:marLeft w:val="0"/>
                  <w:marRight w:val="0"/>
                  <w:marTop w:val="0"/>
                  <w:marBottom w:val="0"/>
                  <w:divBdr>
                    <w:top w:val="none" w:sz="0" w:space="0" w:color="auto"/>
                    <w:left w:val="none" w:sz="0" w:space="0" w:color="auto"/>
                    <w:bottom w:val="none" w:sz="0" w:space="0" w:color="auto"/>
                    <w:right w:val="none" w:sz="0" w:space="0" w:color="auto"/>
                  </w:divBdr>
                  <w:divsChild>
                    <w:div w:id="841165992">
                      <w:marLeft w:val="0"/>
                      <w:marRight w:val="0"/>
                      <w:marTop w:val="0"/>
                      <w:marBottom w:val="0"/>
                      <w:divBdr>
                        <w:top w:val="none" w:sz="0" w:space="0" w:color="auto"/>
                        <w:left w:val="none" w:sz="0" w:space="0" w:color="auto"/>
                        <w:bottom w:val="none" w:sz="0" w:space="0" w:color="auto"/>
                        <w:right w:val="none" w:sz="0" w:space="0" w:color="auto"/>
                      </w:divBdr>
                      <w:divsChild>
                        <w:div w:id="1299409949">
                          <w:marLeft w:val="0"/>
                          <w:marRight w:val="0"/>
                          <w:marTop w:val="0"/>
                          <w:marBottom w:val="0"/>
                          <w:divBdr>
                            <w:top w:val="none" w:sz="0" w:space="0" w:color="auto"/>
                            <w:left w:val="none" w:sz="0" w:space="0" w:color="auto"/>
                            <w:bottom w:val="none" w:sz="0" w:space="0" w:color="auto"/>
                            <w:right w:val="none" w:sz="0" w:space="0" w:color="auto"/>
                          </w:divBdr>
                          <w:divsChild>
                            <w:div w:id="769011434">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98450610">
      <w:bodyDiv w:val="1"/>
      <w:marLeft w:val="0"/>
      <w:marRight w:val="0"/>
      <w:marTop w:val="0"/>
      <w:marBottom w:val="0"/>
      <w:divBdr>
        <w:top w:val="none" w:sz="0" w:space="0" w:color="auto"/>
        <w:left w:val="none" w:sz="0" w:space="0" w:color="auto"/>
        <w:bottom w:val="none" w:sz="0" w:space="0" w:color="auto"/>
        <w:right w:val="none" w:sz="0" w:space="0" w:color="auto"/>
      </w:divBdr>
      <w:divsChild>
        <w:div w:id="1600869580">
          <w:marLeft w:val="0"/>
          <w:marRight w:val="0"/>
          <w:marTop w:val="0"/>
          <w:marBottom w:val="0"/>
          <w:divBdr>
            <w:top w:val="none" w:sz="0" w:space="0" w:color="auto"/>
            <w:left w:val="none" w:sz="0" w:space="0" w:color="auto"/>
            <w:bottom w:val="none" w:sz="0" w:space="0" w:color="auto"/>
            <w:right w:val="none" w:sz="0" w:space="0" w:color="auto"/>
          </w:divBdr>
          <w:divsChild>
            <w:div w:id="2634301">
              <w:marLeft w:val="0"/>
              <w:marRight w:val="0"/>
              <w:marTop w:val="0"/>
              <w:marBottom w:val="0"/>
              <w:divBdr>
                <w:top w:val="none" w:sz="0" w:space="0" w:color="auto"/>
                <w:left w:val="none" w:sz="0" w:space="0" w:color="auto"/>
                <w:bottom w:val="none" w:sz="0" w:space="0" w:color="auto"/>
                <w:right w:val="none" w:sz="0" w:space="0" w:color="auto"/>
              </w:divBdr>
              <w:divsChild>
                <w:div w:id="1990092747">
                  <w:marLeft w:val="0"/>
                  <w:marRight w:val="0"/>
                  <w:marTop w:val="0"/>
                  <w:marBottom w:val="0"/>
                  <w:divBdr>
                    <w:top w:val="none" w:sz="0" w:space="0" w:color="auto"/>
                    <w:left w:val="none" w:sz="0" w:space="0" w:color="auto"/>
                    <w:bottom w:val="none" w:sz="0" w:space="0" w:color="auto"/>
                    <w:right w:val="none" w:sz="0" w:space="0" w:color="auto"/>
                  </w:divBdr>
                  <w:divsChild>
                    <w:div w:id="2083674782">
                      <w:marLeft w:val="0"/>
                      <w:marRight w:val="0"/>
                      <w:marTop w:val="0"/>
                      <w:marBottom w:val="0"/>
                      <w:divBdr>
                        <w:top w:val="none" w:sz="0" w:space="0" w:color="auto"/>
                        <w:left w:val="none" w:sz="0" w:space="0" w:color="auto"/>
                        <w:bottom w:val="none" w:sz="0" w:space="0" w:color="auto"/>
                        <w:right w:val="none" w:sz="0" w:space="0" w:color="auto"/>
                      </w:divBdr>
                      <w:divsChild>
                        <w:div w:id="1161580933">
                          <w:marLeft w:val="0"/>
                          <w:marRight w:val="0"/>
                          <w:marTop w:val="0"/>
                          <w:marBottom w:val="0"/>
                          <w:divBdr>
                            <w:top w:val="none" w:sz="0" w:space="0" w:color="auto"/>
                            <w:left w:val="none" w:sz="0" w:space="0" w:color="auto"/>
                            <w:bottom w:val="none" w:sz="0" w:space="0" w:color="auto"/>
                            <w:right w:val="none" w:sz="0" w:space="0" w:color="auto"/>
                          </w:divBdr>
                          <w:divsChild>
                            <w:div w:id="234096105">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57437-20E7-4E67-940A-D48F9033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1557</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DNA</cp:lastModifiedBy>
  <cp:revision>10</cp:revision>
  <cp:lastPrinted>2012-02-23T19:37:00Z</cp:lastPrinted>
  <dcterms:created xsi:type="dcterms:W3CDTF">2013-08-02T16:08:00Z</dcterms:created>
  <dcterms:modified xsi:type="dcterms:W3CDTF">2013-08-06T20:37:00Z</dcterms:modified>
</cp:coreProperties>
</file>